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
        <w:rPr>
          <w:sz w:val="22"/>
          <w:szCs w:val="22"/>
          <w:highlight w:val="white"/>
        </w:rPr>
      </w:r>
    </w:p>
    <w:p>
      <w:pPr>
        <w:rPr>
          <w:sz w:val="22"/>
          <w:szCs w:val="22"/>
          <w:highlight w:val="white"/>
        </w:rPr>
      </w:pP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p>
    <w:p>
      <w:pPr>
        <w:pStyle w:val="1166"/>
        <w:ind w:firstLine="0"/>
        <w:jc w:val="center"/>
        <w:rPr>
          <w:rFonts w:eastAsia="MS Mincho"/>
          <w:b/>
          <w:szCs w:val="28"/>
          <w:highlight w:val="white"/>
        </w:rPr>
      </w:pPr>
      <w:r>
        <w:rPr>
          <w:rFonts w:eastAsia="MS Mincho"/>
          <w:b/>
          <w:szCs w:val="28"/>
          <w:highlight w:val="white"/>
        </w:rPr>
      </w:r>
      <w:r>
        <w:rPr>
          <w:rFonts w:eastAsia="MS Mincho"/>
          <w:b/>
          <w:szCs w:val="28"/>
          <w:highlight w:val="white"/>
        </w:rPr>
      </w:r>
    </w:p>
    <w:p>
      <w:pPr>
        <w:pStyle w:val="1166"/>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p>
    <w:p>
      <w:pPr>
        <w:pStyle w:val="116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p>
    <w:p>
      <w:pPr>
        <w:pStyle w:val="1166"/>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работ по монтажу кабельной линии 6 </w:t>
      </w:r>
      <w:r>
        <w:rPr>
          <w:b/>
          <w:bCs/>
          <w:szCs w:val="28"/>
        </w:rPr>
        <w:t xml:space="preserve">кВ</w:t>
      </w:r>
      <w:r>
        <w:rPr>
          <w:b/>
          <w:bCs/>
          <w:szCs w:val="28"/>
        </w:rPr>
        <w:t xml:space="preserve"> направлением: 1.  КЛ 6 </w:t>
      </w:r>
      <w:r>
        <w:rPr>
          <w:b/>
          <w:bCs/>
          <w:szCs w:val="28"/>
        </w:rPr>
        <w:t xml:space="preserve">кВ</w:t>
      </w:r>
      <w:r>
        <w:rPr>
          <w:b/>
          <w:bCs/>
          <w:szCs w:val="28"/>
        </w:rPr>
        <w:t xml:space="preserve"> ТП № 6714 (Б) – </w:t>
      </w:r>
      <w:r>
        <w:rPr>
          <w:b/>
          <w:bCs/>
          <w:szCs w:val="28"/>
        </w:rPr>
        <w:br/>
        <w:t xml:space="preserve">ТП № 6593 (Б) по фид.5065 </w:t>
      </w:r>
      <w:r>
        <w:rPr>
          <w:b/>
          <w:bCs/>
          <w:szCs w:val="28"/>
        </w:rPr>
        <w:t xml:space="preserve">альфа+бета</w:t>
      </w:r>
      <w:r>
        <w:rPr>
          <w:b/>
          <w:bCs/>
          <w:szCs w:val="28"/>
        </w:rPr>
        <w:t xml:space="preserve"> ПС 110 </w:t>
      </w:r>
      <w:r>
        <w:rPr>
          <w:b/>
          <w:bCs/>
          <w:szCs w:val="28"/>
        </w:rPr>
        <w:t xml:space="preserve">кВ</w:t>
      </w:r>
      <w:r>
        <w:rPr>
          <w:b/>
          <w:bCs/>
          <w:szCs w:val="28"/>
        </w:rPr>
        <w:t xml:space="preserve"> «Рублёво»; 2.  КЛ 6 </w:t>
      </w:r>
      <w:r>
        <w:rPr>
          <w:b/>
          <w:bCs/>
          <w:szCs w:val="28"/>
        </w:rPr>
        <w:t xml:space="preserve">кВ</w:t>
      </w:r>
      <w:r>
        <w:rPr>
          <w:b/>
          <w:bCs/>
          <w:szCs w:val="28"/>
        </w:rPr>
        <w:t xml:space="preserve"> </w:t>
      </w:r>
      <w:r>
        <w:rPr>
          <w:b/>
          <w:bCs/>
          <w:szCs w:val="28"/>
        </w:rPr>
        <w:br/>
        <w:t xml:space="preserve">ТП № 5344- ТП № 5596 по фид.5031 ПС 110 </w:t>
      </w:r>
      <w:r>
        <w:rPr>
          <w:b/>
          <w:bCs/>
          <w:szCs w:val="28"/>
        </w:rPr>
        <w:t xml:space="preserve">кВ</w:t>
      </w:r>
      <w:r>
        <w:rPr>
          <w:b/>
          <w:bCs/>
          <w:szCs w:val="28"/>
        </w:rPr>
        <w:t xml:space="preserve"> «Усово»; 3.  КЛ 6 </w:t>
      </w:r>
      <w:r>
        <w:rPr>
          <w:b/>
          <w:bCs/>
          <w:szCs w:val="28"/>
        </w:rPr>
        <w:t xml:space="preserve">кВ</w:t>
      </w:r>
      <w:r>
        <w:rPr>
          <w:b/>
          <w:bCs/>
          <w:szCs w:val="28"/>
        </w:rPr>
        <w:t xml:space="preserve"> ТП № 6949 – ТП № 8029 по фид.5065 </w:t>
      </w:r>
      <w:r>
        <w:rPr>
          <w:b/>
          <w:bCs/>
          <w:szCs w:val="28"/>
        </w:rPr>
        <w:t xml:space="preserve">альфа+бета</w:t>
      </w:r>
      <w:r>
        <w:rPr>
          <w:b/>
          <w:bCs/>
          <w:szCs w:val="28"/>
        </w:rPr>
        <w:t xml:space="preserve"> ПС 110 </w:t>
      </w:r>
      <w:r>
        <w:rPr>
          <w:b/>
          <w:bCs/>
          <w:szCs w:val="28"/>
        </w:rPr>
        <w:t xml:space="preserve">кВ</w:t>
      </w:r>
      <w:r>
        <w:rPr>
          <w:b/>
          <w:bCs/>
          <w:szCs w:val="28"/>
        </w:rPr>
        <w:t xml:space="preserve"> «Рублёво»; 4.  КЛ 6 </w:t>
      </w:r>
      <w:r>
        <w:rPr>
          <w:b/>
          <w:bCs/>
          <w:szCs w:val="28"/>
        </w:rPr>
        <w:t xml:space="preserve">кВ</w:t>
      </w:r>
      <w:r>
        <w:rPr>
          <w:b/>
          <w:bCs/>
          <w:szCs w:val="28"/>
        </w:rPr>
        <w:t xml:space="preserve"> ТП № 6949 – ТП № 6593 (А) по фид.5065 </w:t>
      </w:r>
      <w:r>
        <w:rPr>
          <w:b/>
          <w:bCs/>
          <w:szCs w:val="28"/>
        </w:rPr>
        <w:t xml:space="preserve">альфа+бета</w:t>
      </w:r>
      <w:r>
        <w:rPr>
          <w:b/>
          <w:bCs/>
          <w:szCs w:val="28"/>
        </w:rPr>
        <w:t xml:space="preserve"> ПС 110 </w:t>
      </w:r>
      <w:r>
        <w:rPr>
          <w:b/>
          <w:bCs/>
          <w:szCs w:val="28"/>
        </w:rPr>
        <w:t xml:space="preserve">кВ</w:t>
      </w:r>
      <w:r>
        <w:rPr>
          <w:b/>
          <w:bCs/>
          <w:szCs w:val="28"/>
        </w:rPr>
        <w:t xml:space="preserve"> «Рублёво» </w:t>
      </w:r>
      <w:r>
        <w:rPr>
          <w:b/>
          <w:bCs/>
          <w:szCs w:val="24"/>
          <w:highlight w:val="white"/>
        </w:rPr>
        <w:t xml:space="preserve">для нужд филиала ПАО «</w:t>
      </w:r>
      <w:r>
        <w:rPr>
          <w:b/>
          <w:bCs/>
          <w:szCs w:val="24"/>
          <w:highlight w:val="white"/>
        </w:rPr>
        <w:t xml:space="preserve">Россети</w:t>
      </w:r>
      <w:r>
        <w:rPr>
          <w:b/>
          <w:bCs/>
          <w:szCs w:val="24"/>
          <w:highlight w:val="white"/>
        </w:rPr>
        <w:t xml:space="preserve"> Московский регион» – </w:t>
      </w:r>
      <w:r>
        <w:rPr>
          <w:b/>
          <w:bCs/>
          <w:highlight w:val="white"/>
        </w:rPr>
      </w:r>
    </w:p>
    <w:p>
      <w:pPr>
        <w:pStyle w:val="1166"/>
        <w:jc w:val="center"/>
        <w:rPr>
          <w:b/>
          <w:bCs/>
          <w:highlight w:val="white"/>
        </w:rPr>
      </w:pPr>
      <w:r>
        <w:rPr>
          <w:b/>
          <w:bCs/>
          <w:szCs w:val="24"/>
          <w:highlight w:val="white"/>
        </w:rPr>
        <w:t xml:space="preserve">Западные электрические сети.</w:t>
      </w:r>
      <w:r>
        <w:rPr>
          <w:b/>
          <w:bCs/>
          <w:highlight w:val="white"/>
        </w:rPr>
      </w:r>
    </w:p>
    <w:p>
      <w:pPr>
        <w:pStyle w:val="1166"/>
        <w:jc w:val="center"/>
        <w:rPr>
          <w:sz w:val="20"/>
          <w:highlight w:val="white"/>
        </w:rPr>
      </w:pP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p>
    <w:p>
      <w:pPr>
        <w:pStyle w:val="1178"/>
        <w:ind w:left="410"/>
        <w:jc w:val="left"/>
        <w:spacing w:line="240" w:lineRule="auto"/>
        <w:widowControl/>
        <w:tabs>
          <w:tab w:val="left" w:pos="9374" w:leader="dot"/>
        </w:tabs>
        <w:rPr>
          <w:rStyle w:val="1176"/>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76"/>
          <w:highlight w:val="white"/>
        </w:rPr>
      </w:r>
    </w:p>
    <w:p>
      <w:pPr>
        <w:jc w:val="center"/>
        <w:rPr>
          <w:b/>
          <w:bCs/>
          <w:sz w:val="26"/>
          <w:szCs w:val="26"/>
          <w:highlight w:val="white"/>
        </w:rPr>
      </w:pPr>
      <w:r/>
      <w:bookmarkStart w:id="1" w:name="_Toc341278316"/>
      <w:r/>
      <w:bookmarkStart w:id="2" w:name="_Toc319328703"/>
      <w:r/>
      <w:bookmarkEnd w:id="0"/>
      <w:r/>
      <w:bookmarkEnd w:id="1"/>
      <w:r/>
      <w:r>
        <w:rPr>
          <w:b/>
          <w:bCs/>
          <w:sz w:val="26"/>
          <w:szCs w:val="26"/>
          <w:highlight w:val="white"/>
        </w:rPr>
      </w:r>
    </w:p>
    <w:p>
      <w:pPr>
        <w:pStyle w:val="1146"/>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p>
    <w:p>
      <w:pPr>
        <w:rPr>
          <w:highlight w:val="white"/>
        </w:rPr>
      </w:pPr>
      <w:r>
        <w:rPr>
          <w:highlight w:val="white"/>
        </w:rPr>
      </w:r>
      <w:r>
        <w:rPr>
          <w:highlight w:val="white"/>
        </w:rPr>
      </w:r>
    </w:p>
    <w:p>
      <w:pPr>
        <w:pStyle w:val="1137"/>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0"/>
            <w:highlight w:val="white"/>
          </w:rPr>
          <w:t xml:space="preserve">ОБЩИЕ СВЕДЕНИЯ</w:t>
        </w:r>
        <w:r>
          <w:rPr>
            <w:rStyle w:val="1130"/>
            <w:highlight w:val="white"/>
            <w:lang w:val="en-US"/>
          </w:rPr>
          <w:t xml:space="preserve"> </w:t>
        </w:r>
        <w:r>
          <w:rPr>
            <w:rStyle w:val="1130"/>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
        <w:rPr>
          <w:rFonts w:ascii="Calibri" w:hAnsi="Calibri"/>
          <w:sz w:val="22"/>
          <w:szCs w:val="22"/>
          <w:highlight w:val="white"/>
        </w:rPr>
      </w:r>
    </w:p>
    <w:p>
      <w:pPr>
        <w:pStyle w:val="1138"/>
        <w:tabs>
          <w:tab w:val="right" w:pos="9838" w:leader="dot"/>
        </w:tabs>
        <w:rPr>
          <w:rFonts w:ascii="Calibri" w:hAnsi="Calibri"/>
          <w:sz w:val="22"/>
          <w:szCs w:val="22"/>
          <w:highlight w:val="white"/>
        </w:rPr>
      </w:pPr>
      <w:r/>
      <w:hyperlink w:tooltip="#_Toc128406161" w:anchor="_Toc128406161" w:history="1">
        <w:r>
          <w:rPr>
            <w:rStyle w:val="1130"/>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62" w:anchor="_Toc128406162" w:history="1">
        <w:r>
          <w:rPr>
            <w:rStyle w:val="1130"/>
            <w:highlight w:val="white"/>
          </w:rPr>
          <w:t xml:space="preserve">1.</w:t>
        </w:r>
        <w:r>
          <w:rPr>
            <w:rFonts w:ascii="Calibri" w:hAnsi="Calibri"/>
            <w:sz w:val="22"/>
            <w:szCs w:val="22"/>
            <w:highlight w:val="white"/>
          </w:rPr>
          <w:tab/>
        </w:r>
        <w:r>
          <w:rPr>
            <w:rStyle w:val="1130"/>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63" w:anchor="_Toc128406163" w:history="1">
        <w:r>
          <w:rPr>
            <w:rStyle w:val="1130"/>
            <w:highlight w:val="white"/>
          </w:rPr>
          <w:t xml:space="preserve">2.</w:t>
        </w:r>
        <w:r>
          <w:rPr>
            <w:rFonts w:ascii="Calibri" w:hAnsi="Calibri"/>
            <w:sz w:val="22"/>
            <w:szCs w:val="22"/>
            <w:highlight w:val="white"/>
          </w:rPr>
          <w:tab/>
        </w:r>
        <w:r>
          <w:rPr>
            <w:rStyle w:val="1130"/>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4" w:anchor="_Toc128406164" w:history="1">
        <w:r>
          <w:rPr>
            <w:rStyle w:val="1130"/>
            <w:highlight w:val="white"/>
          </w:rPr>
          <w:t xml:space="preserve">2.1.</w:t>
        </w:r>
        <w:r>
          <w:rPr>
            <w:rFonts w:ascii="Calibri" w:hAnsi="Calibri"/>
            <w:sz w:val="22"/>
            <w:szCs w:val="22"/>
            <w:highlight w:val="white"/>
          </w:rPr>
          <w:tab/>
        </w:r>
        <w:r>
          <w:rPr>
            <w:rStyle w:val="1130"/>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5" w:anchor="_Toc128406165" w:history="1">
        <w:r>
          <w:rPr>
            <w:rStyle w:val="1130"/>
            <w:highlight w:val="white"/>
          </w:rPr>
          <w:t xml:space="preserve">2.2.</w:t>
        </w:r>
        <w:r>
          <w:rPr>
            <w:rFonts w:ascii="Calibri" w:hAnsi="Calibri"/>
            <w:sz w:val="22"/>
            <w:szCs w:val="22"/>
            <w:highlight w:val="white"/>
          </w:rPr>
          <w:tab/>
        </w:r>
        <w:r>
          <w:rPr>
            <w:rStyle w:val="1130"/>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6" w:anchor="_Toc128406166" w:history="1">
        <w:r>
          <w:rPr>
            <w:rStyle w:val="1130"/>
            <w:highlight w:val="white"/>
          </w:rPr>
          <w:t xml:space="preserve">2.3.</w:t>
        </w:r>
        <w:r>
          <w:rPr>
            <w:rFonts w:ascii="Calibri" w:hAnsi="Calibri"/>
            <w:sz w:val="22"/>
            <w:szCs w:val="22"/>
            <w:highlight w:val="white"/>
          </w:rPr>
          <w:tab/>
        </w:r>
        <w:r>
          <w:rPr>
            <w:rStyle w:val="1130"/>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7" w:anchor="_Toc128406167" w:history="1">
        <w:r>
          <w:rPr>
            <w:rStyle w:val="1130"/>
            <w:highlight w:val="white"/>
          </w:rPr>
          <w:t xml:space="preserve">2.4.</w:t>
        </w:r>
        <w:r>
          <w:rPr>
            <w:rFonts w:ascii="Calibri" w:hAnsi="Calibri"/>
            <w:sz w:val="22"/>
            <w:szCs w:val="22"/>
            <w:highlight w:val="white"/>
          </w:rPr>
          <w:tab/>
        </w:r>
        <w:r>
          <w:rPr>
            <w:rStyle w:val="1130"/>
            <w:highlight w:val="white"/>
          </w:rPr>
          <w:t xml:space="preserve">Требования к валюте предложения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8" w:anchor="_Toc128406168" w:history="1">
        <w:r>
          <w:rPr>
            <w:rStyle w:val="1130"/>
            <w:highlight w:val="white"/>
          </w:rPr>
          <w:t xml:space="preserve">2.5.</w:t>
        </w:r>
        <w:r>
          <w:rPr>
            <w:rFonts w:ascii="Calibri" w:hAnsi="Calibri"/>
            <w:sz w:val="22"/>
            <w:szCs w:val="22"/>
            <w:highlight w:val="white"/>
          </w:rPr>
          <w:tab/>
        </w:r>
        <w:r>
          <w:rPr>
            <w:rStyle w:val="1130"/>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69" w:anchor="_Toc128406169" w:history="1">
        <w:r>
          <w:rPr>
            <w:rStyle w:val="1130"/>
            <w:highlight w:val="white"/>
          </w:rPr>
          <w:t xml:space="preserve">3.</w:t>
        </w:r>
        <w:r>
          <w:rPr>
            <w:rFonts w:ascii="Calibri" w:hAnsi="Calibri"/>
            <w:sz w:val="22"/>
            <w:szCs w:val="22"/>
            <w:highlight w:val="white"/>
          </w:rPr>
          <w:tab/>
        </w:r>
        <w:r>
          <w:rPr>
            <w:rStyle w:val="1130"/>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0" w:anchor="_Toc128406170" w:history="1">
        <w:r>
          <w:rPr>
            <w:rStyle w:val="1130"/>
            <w:highlight w:val="white"/>
          </w:rPr>
          <w:t xml:space="preserve">4.</w:t>
        </w:r>
        <w:r>
          <w:rPr>
            <w:rFonts w:ascii="Calibri" w:hAnsi="Calibri"/>
            <w:sz w:val="22"/>
            <w:szCs w:val="22"/>
            <w:highlight w:val="white"/>
          </w:rPr>
          <w:tab/>
        </w:r>
        <w:r>
          <w:rPr>
            <w:rStyle w:val="1130"/>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1" w:anchor="_Toc128406171" w:history="1">
        <w:r>
          <w:rPr>
            <w:rStyle w:val="1130"/>
            <w:highlight w:val="white"/>
          </w:rPr>
          <w:t xml:space="preserve">5.</w:t>
        </w:r>
        <w:r>
          <w:rPr>
            <w:rFonts w:ascii="Calibri" w:hAnsi="Calibri"/>
            <w:sz w:val="22"/>
            <w:szCs w:val="22"/>
            <w:highlight w:val="white"/>
          </w:rPr>
          <w:tab/>
        </w:r>
        <w:r>
          <w:rPr>
            <w:rStyle w:val="1130"/>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
        <w:rPr>
          <w:rFonts w:ascii="Calibri" w:hAnsi="Calibri"/>
          <w:sz w:val="22"/>
          <w:szCs w:val="22"/>
          <w:highlight w:val="white"/>
        </w:rPr>
      </w:r>
    </w:p>
    <w:p>
      <w:pPr>
        <w:pStyle w:val="1138"/>
        <w:tabs>
          <w:tab w:val="right" w:pos="9838" w:leader="dot"/>
        </w:tabs>
        <w:rPr>
          <w:rFonts w:ascii="Calibri" w:hAnsi="Calibri"/>
          <w:sz w:val="22"/>
          <w:szCs w:val="22"/>
          <w:highlight w:val="white"/>
        </w:rPr>
      </w:pPr>
      <w:r/>
      <w:hyperlink w:tooltip="#_Toc128406172" w:anchor="_Toc128406172" w:history="1">
        <w:r>
          <w:rPr>
            <w:rStyle w:val="1130"/>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3" w:anchor="_Toc128406173" w:history="1">
        <w:r>
          <w:rPr>
            <w:rStyle w:val="1130"/>
            <w:highlight w:val="white"/>
          </w:rPr>
          <w:t xml:space="preserve">1.</w:t>
        </w:r>
        <w:r>
          <w:rPr>
            <w:rFonts w:ascii="Calibri" w:hAnsi="Calibri"/>
            <w:sz w:val="22"/>
            <w:szCs w:val="22"/>
            <w:highlight w:val="white"/>
          </w:rPr>
          <w:tab/>
        </w:r>
        <w:r>
          <w:rPr>
            <w:rStyle w:val="1130"/>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4" w:anchor="_Toc128406174" w:history="1">
        <w:r>
          <w:rPr>
            <w:rStyle w:val="1130"/>
            <w:highlight w:val="white"/>
          </w:rPr>
          <w:t xml:space="preserve">2.</w:t>
        </w:r>
        <w:r>
          <w:rPr>
            <w:rFonts w:ascii="Calibri" w:hAnsi="Calibri"/>
            <w:sz w:val="22"/>
            <w:szCs w:val="22"/>
            <w:highlight w:val="white"/>
          </w:rPr>
          <w:tab/>
        </w:r>
        <w:r>
          <w:rPr>
            <w:rStyle w:val="1130"/>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5" w:anchor="_Toc128406175" w:history="1">
        <w:r>
          <w:rPr>
            <w:rStyle w:val="1130"/>
            <w:highlight w:val="white"/>
          </w:rPr>
          <w:t xml:space="preserve">3.</w:t>
        </w:r>
        <w:r>
          <w:rPr>
            <w:rFonts w:ascii="Calibri" w:hAnsi="Calibri"/>
            <w:sz w:val="22"/>
            <w:szCs w:val="22"/>
            <w:highlight w:val="white"/>
          </w:rPr>
          <w:tab/>
        </w:r>
        <w:r>
          <w:rPr>
            <w:rStyle w:val="1130"/>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PAGEREF _Toc128406175 \h </w:instrText>
        </w:r>
        <w:r>
          <w:rPr>
            <w:highlight w:val="white"/>
          </w:rPr>
        </w:r>
        <w:r>
          <w:rPr>
            <w:highlight w:val="white"/>
          </w:rPr>
          <w:fldChar w:fldCharType="separate"/>
        </w:r>
        <w:r>
          <w:rPr>
            <w:highlight w:val="white"/>
          </w:rPr>
          <w:t xml:space="preserve">14</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6" w:anchor="_Toc128406176" w:history="1">
        <w:r>
          <w:rPr>
            <w:rStyle w:val="1130"/>
            <w:highlight w:val="white"/>
          </w:rPr>
          <w:t xml:space="preserve">4.</w:t>
        </w:r>
        <w:r>
          <w:rPr>
            <w:rFonts w:ascii="Calibri" w:hAnsi="Calibri"/>
            <w:sz w:val="22"/>
            <w:szCs w:val="22"/>
            <w:highlight w:val="white"/>
          </w:rPr>
          <w:tab/>
        </w:r>
        <w:r>
          <w:rPr>
            <w:rStyle w:val="1130"/>
            <w:highlight w:val="white"/>
          </w:rPr>
          <w:t xml:space="preserve">Процедура на понижение цены (переторжка) (ПОЛОЖЕНИЯ ДАННОГО РАЗДЕЛА ПРИМЕНЯЮТСЯ, В СЛУЧАЕ ЕСЛИ ДАННАЯ ПРОЦЕДУРА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7" w:anchor="_Toc128406177" w:history="1">
        <w:r>
          <w:rPr>
            <w:rStyle w:val="1130"/>
            <w:highlight w:val="white"/>
          </w:rPr>
          <w:t xml:space="preserve">5.</w:t>
        </w:r>
        <w:r>
          <w:rPr>
            <w:rFonts w:ascii="Calibri" w:hAnsi="Calibri"/>
            <w:sz w:val="22"/>
            <w:szCs w:val="22"/>
            <w:highlight w:val="white"/>
          </w:rPr>
          <w:tab/>
        </w:r>
        <w:r>
          <w:rPr>
            <w:rStyle w:val="1130"/>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8" w:anchor="_Toc128406178" w:history="1">
        <w:r>
          <w:rPr>
            <w:rStyle w:val="1130"/>
            <w:highlight w:val="white"/>
          </w:rPr>
          <w:t xml:space="preserve">6.</w:t>
        </w:r>
        <w:r>
          <w:rPr>
            <w:rFonts w:ascii="Calibri" w:hAnsi="Calibri"/>
            <w:sz w:val="22"/>
            <w:szCs w:val="22"/>
            <w:highlight w:val="white"/>
          </w:rPr>
          <w:tab/>
        </w:r>
        <w:r>
          <w:rPr>
            <w:rStyle w:val="1130"/>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9" w:anchor="_Toc128406179" w:history="1">
        <w:r>
          <w:rPr>
            <w:rStyle w:val="1130"/>
            <w:highlight w:val="white"/>
          </w:rPr>
          <w:t xml:space="preserve">7.</w:t>
        </w:r>
        <w:r>
          <w:rPr>
            <w:rFonts w:ascii="Calibri" w:hAnsi="Calibri"/>
            <w:sz w:val="22"/>
            <w:szCs w:val="22"/>
            <w:highlight w:val="white"/>
          </w:rPr>
          <w:tab/>
        </w:r>
        <w:r>
          <w:rPr>
            <w:rStyle w:val="1130"/>
            <w:highlight w:val="white"/>
          </w:rPr>
          <w:t xml:space="preserve">Подписание Договора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80" w:anchor="_Toc128406180" w:history="1">
        <w:r>
          <w:rPr>
            <w:rStyle w:val="1130"/>
            <w:highlight w:val="white"/>
          </w:rPr>
          <w:t xml:space="preserve">8.</w:t>
        </w:r>
        <w:r>
          <w:rPr>
            <w:rFonts w:ascii="Calibri" w:hAnsi="Calibri"/>
            <w:sz w:val="22"/>
            <w:szCs w:val="22"/>
            <w:highlight w:val="white"/>
          </w:rPr>
          <w:tab/>
        </w:r>
        <w:r>
          <w:rPr>
            <w:rStyle w:val="1130"/>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81" w:anchor="_Toc128406181" w:history="1">
        <w:r>
          <w:rPr>
            <w:rStyle w:val="1130"/>
            <w:highlight w:val="white"/>
          </w:rPr>
          <w:t xml:space="preserve">9.</w:t>
        </w:r>
        <w:r>
          <w:rPr>
            <w:rFonts w:ascii="Calibri" w:hAnsi="Calibri"/>
            <w:sz w:val="22"/>
            <w:szCs w:val="22"/>
            <w:highlight w:val="white"/>
          </w:rPr>
          <w:tab/>
        </w:r>
        <w:r>
          <w:rPr>
            <w:rStyle w:val="1130"/>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
        <w:rPr>
          <w:rFonts w:ascii="Calibri" w:hAnsi="Calibri"/>
          <w:sz w:val="22"/>
          <w:szCs w:val="22"/>
          <w:highlight w:val="white"/>
        </w:rPr>
      </w:r>
    </w:p>
    <w:p>
      <w:pPr>
        <w:pStyle w:val="1138"/>
        <w:tabs>
          <w:tab w:val="left" w:pos="880" w:leader="none"/>
          <w:tab w:val="right" w:pos="9838" w:leader="dot"/>
        </w:tabs>
        <w:rPr>
          <w:rFonts w:ascii="Calibri" w:hAnsi="Calibri"/>
          <w:sz w:val="22"/>
          <w:szCs w:val="22"/>
          <w:highlight w:val="white"/>
        </w:rPr>
      </w:pPr>
      <w:r/>
      <w:hyperlink w:tooltip="#_Toc191625440" w:anchor="_Toc191625440" w:history="1">
        <w:r>
          <w:rPr>
            <w:rStyle w:val="1130"/>
            <w:highlight w:val="white"/>
          </w:rPr>
          <w:t xml:space="preserve">10</w:t>
        </w:r>
        <w:r>
          <w:rPr>
            <w:rFonts w:ascii="Calibri" w:hAnsi="Calibri"/>
            <w:sz w:val="22"/>
            <w:szCs w:val="22"/>
            <w:highlight w:val="white"/>
          </w:rPr>
          <w:tab/>
        </w:r>
        <w:r>
          <w:rPr>
            <w:rStyle w:val="1130"/>
            <w:highlight w:val="white"/>
          </w:rPr>
          <w:t xml:space="preserve">Изменение и расторжение договора</w:t>
        </w:r>
        <w:r>
          <w:rPr>
            <w:highlight w:val="white"/>
          </w:rPr>
          <w:tab/>
        </w:r>
      </w:hyperlink>
      <w:r>
        <w:rPr>
          <w:highlight w:val="white"/>
        </w:rPr>
        <w:t xml:space="preserve">18</w:t>
      </w:r>
      <w:r>
        <w:rPr>
          <w:rFonts w:ascii="Calibri" w:hAnsi="Calibri"/>
          <w:sz w:val="22"/>
          <w:szCs w:val="22"/>
          <w:highlight w:val="white"/>
        </w:rPr>
      </w:r>
    </w:p>
    <w:p>
      <w:pPr>
        <w:pStyle w:val="1138"/>
        <w:tabs>
          <w:tab w:val="right" w:pos="9838" w:leader="dot"/>
        </w:tabs>
        <w:rPr>
          <w:highlight w:val="white"/>
        </w:rPr>
      </w:pPr>
      <w:r/>
      <w:hyperlink w:tooltip="#_Toc128406184" w:anchor="_Toc128406184" w:history="1">
        <w:r>
          <w:rPr>
            <w:rStyle w:val="1130"/>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p>
    <w:p>
      <w:pPr>
        <w:rPr>
          <w:highlight w:val="white"/>
        </w:rPr>
      </w:pP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
        <w:rPr>
          <w:b/>
          <w:bCs/>
          <w:sz w:val="32"/>
          <w:szCs w:val="32"/>
          <w:highlight w:val="white"/>
        </w:rPr>
      </w:r>
    </w:p>
    <w:p>
      <w:pPr>
        <w:pStyle w:val="1166"/>
        <w:ind w:left="6237" w:firstLine="0"/>
        <w:rPr>
          <w:rFonts w:eastAsia="MS Mincho"/>
          <w:szCs w:val="28"/>
          <w:highlight w:val="white"/>
        </w:rPr>
      </w:pP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w:t>
            </w:r>
            <w:r>
              <w:rPr>
                <w:highlight w:val="white"/>
              </w:rPr>
              <w:t xml:space="preserve">Россети</w:t>
            </w:r>
            <w:r>
              <w:rPr>
                <w:highlight w:val="white"/>
              </w:rPr>
              <w:t xml:space="preserve">», решение о присоединении к которому принято Советом директоров ПАО «</w:t>
            </w:r>
            <w:r>
              <w:rPr>
                <w:highlight w:val="white"/>
              </w:rPr>
              <w:t xml:space="preserve">Россети</w:t>
            </w:r>
            <w:r>
              <w:rPr>
                <w:highlight w:val="white"/>
              </w:rPr>
              <w:t xml:space="preserve"> Московский регион» (выписка из протокола заседания СД от 03.02.2023 №563 (далее - Положение о закупке).</w:t>
            </w:r>
            <w:bookmarkEnd w:id="11"/>
            <w:r/>
            <w:bookmarkEnd w:id="12"/>
            <w:r/>
            <w:bookmarkEnd w:id="13"/>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p>
        </w:tc>
        <w:tc>
          <w:tcPr>
            <w:tcW w:w="3306" w:type="pct"/>
            <w:vAlign w:val="center"/>
            <w:textDirection w:val="lrTb"/>
            <w:noWrap w:val="false"/>
          </w:tcPr>
          <w:p>
            <w:pPr>
              <w:jc w:val="both"/>
              <w:rPr>
                <w:highlight w:val="white"/>
              </w:rPr>
            </w:pPr>
            <w:r>
              <w:rPr>
                <w:highlight w:val="white"/>
              </w:rPr>
              <w:t xml:space="preserve">4257р от 08.07.2026</w:t>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w:t>
            </w:r>
            <w:r>
              <w:rPr>
                <w:highlight w:val="white"/>
              </w:rPr>
              <w:t xml:space="preserve">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r>
              <w:rPr>
                <w:highlight w:val="white"/>
              </w:rPr>
              <w:t xml:space="preserve">кВ</w:t>
            </w:r>
            <w:r>
              <w:rPr>
                <w:highlight w:val="white"/>
              </w:rPr>
              <w:t xml:space="preserve"> для нужд ЗЭС - филиала ПАО «</w:t>
            </w:r>
            <w:r>
              <w:rPr>
                <w:highlight w:val="white"/>
              </w:rPr>
              <w:t xml:space="preserve">Россети</w:t>
            </w:r>
            <w:r>
              <w:rPr>
                <w:highlight w:val="white"/>
              </w:rPr>
              <w:t xml:space="preserve"> Московский регион» (</w:t>
            </w:r>
            <w:r>
              <w:rPr>
                <w:b/>
                <w:highlight w:val="white"/>
              </w:rPr>
              <w:t xml:space="preserve">№32514779384</w:t>
            </w:r>
            <w:r>
              <w:rPr>
                <w:highlight w:val="white"/>
              </w:rPr>
              <w:t xml:space="preserve"> на </w:t>
            </w:r>
            <w:hyperlink r:id="rId19" w:tooltip="http://www.tender.lot-online.ru" w:history="1">
              <w:r>
                <w:rPr>
                  <w:rStyle w:val="1130"/>
                  <w:highlight w:val="white"/>
                </w:rPr>
                <w:t xml:space="preserve">www.</w:t>
              </w:r>
              <w:r>
                <w:rPr>
                  <w:rStyle w:val="1130"/>
                  <w:highlight w:val="white"/>
                  <w:lang w:val="en-US"/>
                </w:rPr>
                <w:t xml:space="preserve">tender</w:t>
              </w:r>
              <w:r>
                <w:rPr>
                  <w:rStyle w:val="1130"/>
                  <w:highlight w:val="white"/>
                </w:rPr>
                <w:t xml:space="preserve">.</w:t>
              </w:r>
              <w:r>
                <w:rPr>
                  <w:rStyle w:val="1130"/>
                  <w:highlight w:val="white"/>
                  <w:lang w:val="en-US"/>
                </w:rPr>
                <w:t xml:space="preserve">lot</w:t>
              </w:r>
              <w:r>
                <w:rPr>
                  <w:rStyle w:val="1130"/>
                  <w:highlight w:val="white"/>
                </w:rPr>
                <w:t xml:space="preserve">-</w:t>
              </w:r>
              <w:r>
                <w:rPr>
                  <w:rStyle w:val="1130"/>
                  <w:highlight w:val="white"/>
                  <w:lang w:val="en-US"/>
                </w:rPr>
                <w:t xml:space="preserve">online</w:t>
              </w:r>
              <w:r>
                <w:rPr>
                  <w:rStyle w:val="1130"/>
                  <w:highlight w:val="white"/>
                </w:rPr>
                <w:t xml:space="preserve">.</w:t>
              </w:r>
              <w:r>
                <w:rPr>
                  <w:rStyle w:val="1130"/>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p>
          <w:p>
            <w:pPr>
              <w:jc w:val="both"/>
              <w:rPr>
                <w:highlight w:val="white"/>
              </w:rPr>
            </w:pPr>
            <w:r>
              <w:rPr>
                <w:highlight w:val="white"/>
              </w:rPr>
              <w:t xml:space="preserve">ПАО «</w:t>
            </w:r>
            <w:r>
              <w:rPr>
                <w:highlight w:val="white"/>
              </w:rPr>
              <w:t xml:space="preserve">Россети</w:t>
            </w:r>
            <w:r>
              <w:rPr>
                <w:highlight w:val="white"/>
              </w:rPr>
              <w:t xml:space="preserve"> Московский регион».</w:t>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0"/>
                  <w:highlight w:val="white"/>
                  <w:lang w:val="en-US"/>
                </w:rPr>
                <w:t xml:space="preserve">client</w:t>
              </w:r>
              <w:r>
                <w:rPr>
                  <w:rStyle w:val="1130"/>
                  <w:highlight w:val="white"/>
                </w:rPr>
                <w:t xml:space="preserve">@</w:t>
              </w:r>
              <w:r>
                <w:rPr>
                  <w:rStyle w:val="1130"/>
                  <w:highlight w:val="white"/>
                  <w:lang w:val="en-US"/>
                </w:rPr>
                <w:t xml:space="preserve">rossetimr</w:t>
              </w:r>
              <w:r>
                <w:rPr>
                  <w:rStyle w:val="1130"/>
                  <w:highlight w:val="white"/>
                </w:rPr>
                <w:t xml:space="preserve">.</w:t>
              </w:r>
              <w:r>
                <w:rPr>
                  <w:rStyle w:val="1130"/>
                  <w:highlight w:val="white"/>
                  <w:lang w:val="en-US"/>
                </w:rPr>
                <w:t xml:space="preserve">ru</w:t>
              </w:r>
            </w:hyperlink>
            <w:r/>
            <w:r>
              <w:rPr>
                <w:highlight w:val="white"/>
              </w:rPr>
            </w:r>
          </w:p>
          <w:p>
            <w:pPr>
              <w:jc w:val="both"/>
              <w:rPr>
                <w:highlight w:val="white"/>
              </w:rPr>
            </w:pPr>
            <w:r>
              <w:rPr>
                <w:highlight w:val="white"/>
              </w:rPr>
              <w:t xml:space="preserve">Телефон: (495) 662-40-70.</w:t>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t xml:space="preserve">ПАО «</w:t>
            </w:r>
            <w:r>
              <w:rPr>
                <w:highlight w:val="white"/>
              </w:rPr>
              <w:t xml:space="preserve">Россети</w:t>
            </w:r>
            <w:r>
              <w:rPr>
                <w:highlight w:val="white"/>
              </w:rPr>
              <w:t xml:space="preserve"> Московский регион» – Западные электрические сети.</w:t>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p>
          <w:p>
            <w:pPr>
              <w:jc w:val="both"/>
              <w:rPr>
                <w:highlight w:val="white"/>
              </w:rPr>
            </w:pPr>
            <w:r>
              <w:rPr>
                <w:highlight w:val="white"/>
              </w:rPr>
              <w:t xml:space="preserve">Контактные лица Организатора: </w:t>
            </w:r>
            <w:r>
              <w:rPr>
                <w:highlight w:val="white"/>
              </w:rPr>
            </w:r>
          </w:p>
          <w:p>
            <w:pPr>
              <w:jc w:val="both"/>
              <w:rPr>
                <w:highlight w:val="white"/>
              </w:rPr>
            </w:pPr>
            <w:r>
              <w:rPr>
                <w:highlight w:val="white"/>
              </w:rPr>
              <w:t xml:space="preserve">1) Медникова Алла Юрьевна – ведущий специалист </w:t>
            </w:r>
            <w:r>
              <w:rPr>
                <w:highlight w:val="white"/>
              </w:rPr>
              <w:br/>
              <w:t xml:space="preserve">сектора по организации закупок филиала ПАО «</w:t>
            </w:r>
            <w:r>
              <w:rPr>
                <w:highlight w:val="white"/>
              </w:rPr>
              <w:t xml:space="preserve">Россети</w:t>
            </w:r>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 xml:space="preserve">MednikovaAY</w:t>
            </w:r>
            <w:r>
              <w:rPr>
                <w:color w:val="0000ff"/>
                <w:highlight w:val="white"/>
              </w:rPr>
              <w:t xml:space="preserve">@rossetimr.ru</w:t>
            </w:r>
            <w:r>
              <w:rPr>
                <w:highlight w:val="white"/>
              </w:rPr>
              <w:t xml:space="preserve">, телефон: (495) 525-73-00 (доб. 20-66).</w:t>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0"/>
                  <w:highlight w:val="white"/>
                </w:rPr>
                <w:t xml:space="preserve">www.</w:t>
              </w:r>
              <w:r>
                <w:rPr>
                  <w:rStyle w:val="1130"/>
                  <w:highlight w:val="white"/>
                  <w:lang w:val="en-US"/>
                </w:rPr>
                <w:t xml:space="preserve">tender</w:t>
              </w:r>
              <w:r>
                <w:rPr>
                  <w:rStyle w:val="1130"/>
                  <w:highlight w:val="white"/>
                </w:rPr>
                <w:t xml:space="preserve">.</w:t>
              </w:r>
              <w:r>
                <w:rPr>
                  <w:rStyle w:val="1130"/>
                  <w:highlight w:val="white"/>
                  <w:lang w:val="en-US"/>
                </w:rPr>
                <w:t xml:space="preserve">lot</w:t>
              </w:r>
              <w:r>
                <w:rPr>
                  <w:rStyle w:val="1130"/>
                  <w:highlight w:val="white"/>
                </w:rPr>
                <w:t xml:space="preserve">-</w:t>
              </w:r>
              <w:r>
                <w:rPr>
                  <w:rStyle w:val="1130"/>
                  <w:highlight w:val="white"/>
                  <w:lang w:val="en-US"/>
                </w:rPr>
                <w:t xml:space="preserve">online</w:t>
              </w:r>
              <w:r>
                <w:rPr>
                  <w:rStyle w:val="1130"/>
                  <w:highlight w:val="white"/>
                </w:rPr>
                <w:t xml:space="preserve">.</w:t>
              </w:r>
              <w:r>
                <w:rPr>
                  <w:rStyle w:val="1130"/>
                  <w:highlight w:val="white"/>
                </w:rPr>
                <w:t xml:space="preserve">ru</w:t>
              </w:r>
            </w:hyperlink>
            <w:r>
              <w:rPr>
                <w:highlight w:val="white"/>
              </w:rPr>
              <w:t xml:space="preserve"> </w:t>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 </w:t>
            </w:r>
            <w:r>
              <w:rPr>
                <w:b/>
                <w:bCs/>
              </w:rPr>
              <w:t xml:space="preserve">работ по монтажу кабельной линии 6 </w:t>
            </w:r>
            <w:r>
              <w:rPr>
                <w:b/>
                <w:bCs/>
              </w:rPr>
              <w:t xml:space="preserve">кВ</w:t>
            </w:r>
            <w:r>
              <w:rPr>
                <w:b/>
                <w:bCs/>
              </w:rPr>
              <w:t xml:space="preserve"> направлением: 1.  КЛ 6 </w:t>
            </w:r>
            <w:r>
              <w:rPr>
                <w:b/>
                <w:bCs/>
              </w:rPr>
              <w:t xml:space="preserve">кВ</w:t>
            </w:r>
            <w:r>
              <w:rPr>
                <w:b/>
                <w:bCs/>
              </w:rPr>
              <w:t xml:space="preserve"> ТП № 6714 (Б) - ТП № 6593 (Б) по фид.5065 </w:t>
            </w:r>
            <w:r>
              <w:rPr>
                <w:b/>
                <w:bCs/>
              </w:rPr>
              <w:t xml:space="preserve">альфа+бета</w:t>
            </w:r>
            <w:r>
              <w:rPr>
                <w:b/>
                <w:bCs/>
              </w:rPr>
              <w:t xml:space="preserve"> ПС 110 </w:t>
            </w:r>
            <w:r>
              <w:rPr>
                <w:b/>
                <w:bCs/>
              </w:rPr>
              <w:t xml:space="preserve">кВ</w:t>
            </w:r>
            <w:r>
              <w:rPr>
                <w:b/>
                <w:bCs/>
              </w:rPr>
              <w:t xml:space="preserve"> «Рублёво»; 2.  КЛ 6 </w:t>
            </w:r>
            <w:r>
              <w:rPr>
                <w:b/>
                <w:bCs/>
              </w:rPr>
              <w:t xml:space="preserve">кВ</w:t>
            </w:r>
            <w:r>
              <w:rPr>
                <w:b/>
                <w:bCs/>
              </w:rPr>
              <w:t xml:space="preserve"> ТП № 5344- ТП № 5596 по фид.5031 ПС 110 </w:t>
            </w:r>
            <w:r>
              <w:rPr>
                <w:b/>
                <w:bCs/>
              </w:rPr>
              <w:t xml:space="preserve">кВ</w:t>
            </w:r>
            <w:r>
              <w:rPr>
                <w:b/>
                <w:bCs/>
              </w:rPr>
              <w:t xml:space="preserve"> «Усово»; 3.  КЛ 6 </w:t>
            </w:r>
            <w:r>
              <w:rPr>
                <w:b/>
                <w:bCs/>
              </w:rPr>
              <w:t xml:space="preserve">кВ</w:t>
            </w:r>
            <w:r>
              <w:rPr>
                <w:b/>
                <w:bCs/>
              </w:rPr>
              <w:t xml:space="preserve"> ТП № 6949 – ТП № 8029 по фид.5065 </w:t>
            </w:r>
            <w:r>
              <w:rPr>
                <w:b/>
                <w:bCs/>
              </w:rPr>
              <w:t xml:space="preserve">альфа+бета</w:t>
            </w:r>
            <w:r>
              <w:rPr>
                <w:b/>
                <w:bCs/>
              </w:rPr>
              <w:t xml:space="preserve"> ПС 110 </w:t>
            </w:r>
            <w:r>
              <w:rPr>
                <w:b/>
                <w:bCs/>
              </w:rPr>
              <w:t xml:space="preserve">кВ</w:t>
            </w:r>
            <w:r>
              <w:rPr>
                <w:b/>
                <w:bCs/>
              </w:rPr>
              <w:t xml:space="preserve"> «Рублёво»; 4.  КЛ 6 </w:t>
            </w:r>
            <w:r>
              <w:rPr>
                <w:b/>
                <w:bCs/>
              </w:rPr>
              <w:t xml:space="preserve">кВ</w:t>
            </w:r>
            <w:r>
              <w:rPr>
                <w:b/>
                <w:bCs/>
              </w:rPr>
              <w:t xml:space="preserve"> ТП № 6949 – ТП № 6593 (А) по фид.5065 </w:t>
            </w:r>
            <w:r>
              <w:rPr>
                <w:b/>
                <w:bCs/>
              </w:rPr>
              <w:t xml:space="preserve">альфа+бета</w:t>
            </w:r>
            <w:r>
              <w:rPr>
                <w:b/>
                <w:bCs/>
              </w:rPr>
              <w:t xml:space="preserve"> ПС 110 </w:t>
            </w:r>
            <w:r>
              <w:rPr>
                <w:b/>
                <w:bCs/>
              </w:rPr>
              <w:t xml:space="preserve">кВ</w:t>
            </w:r>
            <w:r>
              <w:rPr>
                <w:b/>
                <w:bCs/>
              </w:rPr>
              <w:t xml:space="preserve"> «Рублёво» </w:t>
            </w:r>
            <w:r>
              <w:rPr>
                <w:bCs/>
                <w:highlight w:val="white"/>
              </w:rPr>
              <w:t xml:space="preserve">для нужд филиала ПАО «</w:t>
            </w:r>
            <w:r>
              <w:rPr>
                <w:bCs/>
                <w:highlight w:val="white"/>
              </w:rPr>
              <w:t xml:space="preserve">Россети</w:t>
            </w:r>
            <w:r>
              <w:rPr>
                <w:bCs/>
                <w:highlight w:val="white"/>
              </w:rPr>
              <w:t xml:space="preserve"> Московский регион» – Западные электрические сети.</w:t>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(максимальной) цене договора (начальной (максимальной) цене закупки) (далее по тексту – НМЦ)</w:t>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920 288,02</w:t>
            </w:r>
            <w:r>
              <w:rPr>
                <w:b/>
                <w:bCs/>
              </w:rPr>
              <w:t xml:space="preserve"> </w:t>
            </w:r>
            <w:r>
              <w:rPr>
                <w:b/>
                <w:highlight w:val="white"/>
              </w:rPr>
              <w:t xml:space="preserve">руб. </w:t>
            </w:r>
            <w:r>
              <w:rPr>
                <w:b/>
                <w:highlight w:val="white"/>
                <w:lang w:val="en-US"/>
              </w:rPr>
              <w:t xml:space="preserve">c</w:t>
            </w:r>
            <w:r>
              <w:rPr>
                <w:b/>
                <w:highlight w:val="white"/>
              </w:rPr>
              <w:t xml:space="preserve"> НДС (в </w:t>
            </w:r>
            <w:r>
              <w:rPr>
                <w:b/>
                <w:highlight w:val="white"/>
              </w:rPr>
              <w:t xml:space="preserve">т.ч</w:t>
            </w:r>
            <w:r>
              <w:rPr>
                <w:b/>
                <w:highlight w:val="white"/>
              </w:rPr>
              <w:t xml:space="preserve">.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p>
        </w:tc>
      </w:tr>
      <w:tr>
        <w:tblPrEx/>
        <w:trPr/>
        <w:tc>
          <w:tcPr>
            <w:tcW w:w="307" w:type="pct"/>
            <w:vAlign w:val="center"/>
            <w:textDirection w:val="lrTb"/>
            <w:noWrap w:val="false"/>
          </w:tcPr>
          <w:p>
            <w:pPr>
              <w:rPr>
                <w:highlight w:val="white"/>
              </w:rPr>
            </w:pPr>
            <w:r/>
            <w:bookmarkStart w:id="26" w:name="_GoBack"/>
            <w:r/>
            <w:bookmarkEnd w:id="26"/>
            <w:r>
              <w:rPr>
                <w:highlight w:val="white"/>
              </w:rPr>
              <w:t xml:space="preserve">14</w:t>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p>
        </w:tc>
        <w:tc>
          <w:tcPr>
            <w:tcW w:w="3306" w:type="pct"/>
            <w:vAlign w:val="center"/>
            <w:textDirection w:val="lrTb"/>
            <w:noWrap w:val="false"/>
          </w:tcPr>
          <w:p>
            <w:pPr>
              <w:jc w:val="both"/>
              <w:rPr>
                <w:highlight w:val="white"/>
              </w:rPr>
            </w:pPr>
            <w:r/>
            <w:bookmarkStart w:id="27" w:name="_Toc536605205"/>
            <w:r/>
            <w:bookmarkStart w:id="28" w:name="_Toc536624529"/>
            <w:r>
              <w:rPr>
                <w:highlight w:val="white"/>
              </w:rPr>
              <w:t xml:space="preserve">В соответствии с техническим заданием, являющимся приложением № 4 к настоящему Извещению.</w:t>
            </w:r>
            <w:bookmarkEnd w:id="25"/>
            <w:r/>
            <w:bookmarkEnd w:id="27"/>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p>
          <w:p>
            <w:pPr>
              <w:rPr>
                <w:highlight w:val="white"/>
              </w:rPr>
            </w:pPr>
            <w:r>
              <w:rPr>
                <w:highlight w:val="white"/>
              </w:rPr>
              <w:t xml:space="preserve">Извещения </w:t>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0"/>
                  <w:color w:val="000000" w:themeColor="text1"/>
                  <w:highlight w:val="white"/>
                </w:rPr>
                <w:t xml:space="preserve">www.</w:t>
              </w:r>
              <w:r>
                <w:rPr>
                  <w:rStyle w:val="1130"/>
                  <w:color w:val="000000" w:themeColor="text1"/>
                  <w:highlight w:val="white"/>
                  <w:lang w:val="en-US"/>
                </w:rPr>
                <w:t xml:space="preserve">tender</w:t>
              </w:r>
              <w:r>
                <w:rPr>
                  <w:rStyle w:val="1130"/>
                  <w:color w:val="000000" w:themeColor="text1"/>
                  <w:highlight w:val="white"/>
                </w:rPr>
                <w:t xml:space="preserve">.</w:t>
              </w:r>
              <w:r>
                <w:rPr>
                  <w:rStyle w:val="1130"/>
                  <w:color w:val="000000" w:themeColor="text1"/>
                  <w:highlight w:val="white"/>
                  <w:lang w:val="en-US"/>
                </w:rPr>
                <w:t xml:space="preserve">lot</w:t>
              </w:r>
              <w:r>
                <w:rPr>
                  <w:rStyle w:val="1130"/>
                  <w:color w:val="000000" w:themeColor="text1"/>
                  <w:highlight w:val="white"/>
                </w:rPr>
                <w:t xml:space="preserve">-</w:t>
              </w:r>
              <w:r>
                <w:rPr>
                  <w:rStyle w:val="1130"/>
                  <w:color w:val="000000" w:themeColor="text1"/>
                  <w:highlight w:val="white"/>
                  <w:lang w:val="en-US"/>
                </w:rPr>
                <w:t xml:space="preserve">online</w:t>
              </w:r>
              <w:r>
                <w:rPr>
                  <w:rStyle w:val="1130"/>
                  <w:color w:val="000000" w:themeColor="text1"/>
                  <w:highlight w:val="white"/>
                </w:rPr>
                <w:t xml:space="preserve">.</w:t>
              </w:r>
              <w:r>
                <w:rPr>
                  <w:rStyle w:val="1130"/>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rPr>
              <w:t xml:space="preserve">«10</w:t>
            </w:r>
            <w:r>
              <w:rPr>
                <w:b/>
                <w:color w:val="000000" w:themeColor="text1"/>
              </w:rPr>
              <w:t xml:space="preserve">» июля 2026г</w:t>
            </w:r>
            <w:r>
              <w:rPr>
                <w:color w:val="000000" w:themeColor="text1"/>
              </w:rPr>
              <w:t xml:space="preserve">. </w:t>
            </w:r>
            <w:r>
              <w:rPr>
                <w:color w:val="000000" w:themeColor="text1"/>
                <w:highlight w:val="white"/>
              </w:rPr>
              <w:t xml:space="preserve">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w:t>
            </w:r>
            <w:r>
              <w:rPr>
                <w:color w:val="000000" w:themeColor="text1"/>
                <w:highlight w:val="white"/>
              </w:rPr>
              <w:t xml:space="preserve">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0"/>
                  <w:color w:val="000000" w:themeColor="text1"/>
                  <w:highlight w:val="white"/>
                  <w:lang w:val="en-US"/>
                </w:rPr>
                <w:t xml:space="preserve">www</w:t>
              </w:r>
              <w:r>
                <w:rPr>
                  <w:rStyle w:val="1130"/>
                  <w:color w:val="000000" w:themeColor="text1"/>
                  <w:highlight w:val="white"/>
                </w:rPr>
                <w:t xml:space="preserve">.</w:t>
              </w:r>
              <w:r>
                <w:rPr>
                  <w:rStyle w:val="1130"/>
                  <w:color w:val="000000" w:themeColor="text1"/>
                  <w:highlight w:val="white"/>
                  <w:lang w:val="en-US"/>
                </w:rPr>
                <w:t xml:space="preserve">rossetimr</w:t>
              </w:r>
              <w:r>
                <w:rPr>
                  <w:rStyle w:val="1130"/>
                  <w:color w:val="000000" w:themeColor="text1"/>
                  <w:highlight w:val="white"/>
                </w:rPr>
                <w:t xml:space="preserve">.</w:t>
              </w:r>
              <w:r>
                <w:rPr>
                  <w:rStyle w:val="1130"/>
                  <w:color w:val="000000" w:themeColor="text1"/>
                  <w:highlight w:val="white"/>
                  <w:lang w:val="en-US"/>
                </w:rPr>
                <w:t xml:space="preserve">ru</w:t>
              </w:r>
            </w:hyperlink>
            <w:r>
              <w:rPr>
                <w:color w:val="000000" w:themeColor="text1"/>
                <w:highlight w:val="white"/>
              </w:rPr>
              <w:t xml:space="preserve"> в разделе Закупки,</w:t>
            </w:r>
            <w:r>
              <w:rPr>
                <w:color w:val="000000" w:themeColor="text1"/>
                <w:highlight w:val="white"/>
              </w:rPr>
              <w:t xml:space="preserve">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r>
              <w:rPr>
                <w:color w:val="000000" w:themeColor="text1"/>
              </w:rPr>
              <w:t xml:space="preserve">Россети</w:t>
            </w:r>
            <w:r>
              <w:rPr>
                <w:color w:val="000000" w:themeColor="text1"/>
              </w:rPr>
              <w:t xml:space="preserve">».</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17</w:t>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p>
        </w:tc>
        <w:tc>
          <w:tcPr>
            <w:tcW w:w="3306" w:type="pct"/>
            <w:vAlign w:val="center"/>
            <w:textDirection w:val="lrTb"/>
            <w:noWrap w:val="false"/>
          </w:tcPr>
          <w:p>
            <w:pPr>
              <w:jc w:val="both"/>
              <w:rPr>
                <w:b/>
                <w:color w:val="000000" w:themeColor="text1"/>
              </w:rPr>
            </w:pPr>
            <w:r/>
            <w:bookmarkStart w:id="29" w:name="_Toc536605206"/>
            <w:r/>
            <w:bookmarkStart w:id="30" w:name="_Toc536624530"/>
            <w:r>
              <w:rPr>
                <w:color w:val="000000" w:themeColor="text1"/>
              </w:rPr>
              <w:t xml:space="preserve">Дата начала подачи запросов на разъяснение </w:t>
            </w:r>
            <w:r>
              <w:rPr>
                <w:color w:val="000000" w:themeColor="text1"/>
              </w:rPr>
              <w:t xml:space="preserve">Извещения:</w:t>
            </w:r>
            <w:r>
              <w:rPr>
                <w:color w:val="000000" w:themeColor="text1"/>
              </w:rPr>
              <w:br w:type="textWrapping" w:clear="all"/>
            </w:r>
            <w:r>
              <w:rPr>
                <w:b/>
                <w:color w:val="000000" w:themeColor="text1"/>
              </w:rPr>
              <w:t xml:space="preserve">«10</w:t>
            </w:r>
            <w:r>
              <w:rPr>
                <w:b/>
                <w:color w:val="000000" w:themeColor="text1"/>
              </w:rPr>
              <w:t xml:space="preserve">» июля 2026 г.</w:t>
            </w:r>
            <w:bookmarkEnd w:id="28"/>
            <w:r/>
            <w:bookmarkEnd w:id="29"/>
            <w:r/>
            <w:r>
              <w:rPr>
                <w:b/>
                <w:color w:val="000000" w:themeColor="text1"/>
              </w:rPr>
            </w:r>
          </w:p>
          <w:p>
            <w:pPr>
              <w:jc w:val="both"/>
              <w:rPr>
                <w:color w:val="000000" w:themeColor="text1"/>
              </w:rPr>
            </w:pPr>
            <w:r/>
            <w:bookmarkStart w:id="31" w:name="_Toc536605207"/>
            <w:r/>
            <w:bookmarkStart w:id="32" w:name="_Toc536624531"/>
            <w:r>
              <w:rPr>
                <w:color w:val="000000" w:themeColor="text1"/>
              </w:rPr>
              <w:t xml:space="preserve">Дата окончания подачи запросов на разъяснение Извещения: </w:t>
            </w:r>
            <w:r>
              <w:rPr>
                <w:b/>
                <w:color w:val="000000" w:themeColor="text1"/>
              </w:rPr>
              <w:t xml:space="preserve">до 23 час. 59 мин. «13» июля 2026 г.</w:t>
            </w:r>
            <w:bookmarkEnd w:id="30"/>
            <w:r/>
            <w:bookmarkEnd w:id="31"/>
            <w:r>
              <w:rPr>
                <w:b/>
                <w:color w:val="000000" w:themeColor="text1"/>
              </w:rPr>
              <w:t xml:space="preserve"> </w:t>
            </w:r>
            <w:r>
              <w:rPr>
                <w:color w:val="000000" w:themeColor="text1"/>
              </w:rPr>
            </w:r>
          </w:p>
          <w:p>
            <w:pPr>
              <w:jc w:val="both"/>
              <w:rPr>
                <w:color w:val="000000" w:themeColor="text1"/>
              </w:rPr>
            </w:pPr>
            <w:r/>
            <w:bookmarkStart w:id="33" w:name="_Toc536605208"/>
            <w:r/>
            <w:bookmarkStart w:id="34" w:name="_Toc536624532"/>
            <w:r>
              <w:rPr>
                <w:color w:val="000000" w:themeColor="text1"/>
              </w:rPr>
              <w:t xml:space="preserve">Организатор Запроса цен вправе не отвечать на запросы, поступившие позднее срока, установленного в настоящем пункте.</w:t>
            </w:r>
            <w:bookmarkEnd w:id="32"/>
            <w:r/>
            <w:bookmarkEnd w:id="33"/>
            <w:r/>
            <w:r>
              <w:rPr>
                <w:color w:val="000000" w:themeColor="text1"/>
              </w:rPr>
            </w:r>
          </w:p>
          <w:p>
            <w:pPr>
              <w:jc w:val="both"/>
              <w:rPr>
                <w:color w:val="000000" w:themeColor="text1"/>
              </w:rPr>
            </w:pPr>
            <w:r/>
            <w:bookmarkStart w:id="35" w:name="_Toc536605209"/>
            <w:r/>
            <w:bookmarkStart w:id="36" w:name="_Toc536624533"/>
            <w:r>
              <w:rPr>
                <w:color w:val="000000" w:themeColor="text1"/>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4"/>
            <w:r/>
            <w:bookmarkEnd w:id="35"/>
            <w:r/>
            <w:r>
              <w:rPr>
                <w:color w:val="000000" w:themeColor="text1"/>
              </w:rPr>
            </w:r>
          </w:p>
          <w:p>
            <w:pPr>
              <w:jc w:val="both"/>
              <w:rPr>
                <w:color w:val="000000" w:themeColor="text1"/>
              </w:rPr>
            </w:pPr>
            <w:r/>
            <w:bookmarkStart w:id="37" w:name="_Toc536605210"/>
            <w:r/>
            <w:bookmarkStart w:id="38" w:name="_Toc536624534"/>
            <w:r>
              <w:rPr>
                <w:color w:val="000000" w:themeColor="text1"/>
              </w:rPr>
              <w:t xml:space="preserve">Запросы разъяснений, направленные иным способом, не рассматриваются и ответы на них не предоставляются.</w:t>
            </w:r>
            <w:bookmarkEnd w:id="36"/>
            <w:r/>
            <w:bookmarkEnd w:id="37"/>
            <w:r/>
            <w:r>
              <w:rPr>
                <w:color w:val="000000" w:themeColor="text1"/>
              </w:rPr>
            </w:r>
          </w:p>
        </w:tc>
      </w:tr>
      <w:tr>
        <w:tblPrEx/>
        <w:trPr/>
        <w:tc>
          <w:tcPr>
            <w:tcW w:w="307" w:type="pct"/>
            <w:vAlign w:val="center"/>
            <w:textDirection w:val="lrTb"/>
            <w:noWrap w:val="false"/>
          </w:tcPr>
          <w:p>
            <w:pPr>
              <w:rPr>
                <w:highlight w:val="white"/>
              </w:rPr>
            </w:pPr>
            <w:r>
              <w:rPr>
                <w:highlight w:val="white"/>
              </w:rPr>
              <w:t xml:space="preserve">18</w:t>
            </w:r>
            <w:r>
              <w:rPr>
                <w:highlight w:val="white"/>
              </w:rPr>
            </w:r>
          </w:p>
        </w:tc>
        <w:tc>
          <w:tcPr>
            <w:tcW w:w="1387" w:type="pct"/>
            <w:vAlign w:val="center"/>
            <w:textDirection w:val="lrTb"/>
            <w:noWrap w:val="false"/>
          </w:tcPr>
          <w:p>
            <w:pPr>
              <w:rPr>
                <w:highlight w:val="white"/>
              </w:rPr>
            </w:pPr>
            <w:r/>
            <w:bookmarkStart w:id="39" w:name="_Toc536624535"/>
            <w:r>
              <w:rPr>
                <w:highlight w:val="white"/>
              </w:rPr>
              <w:t xml:space="preserve">Отмена закупки</w:t>
            </w:r>
            <w:bookmarkEnd w:id="38"/>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В любое время до заключения договора.</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19</w:t>
            </w:r>
            <w:r>
              <w:rPr>
                <w:highlight w:val="white"/>
              </w:rPr>
            </w:r>
          </w:p>
        </w:tc>
        <w:tc>
          <w:tcPr>
            <w:tcW w:w="1387" w:type="pct"/>
            <w:vAlign w:val="center"/>
            <w:textDirection w:val="lrTb"/>
            <w:noWrap w:val="false"/>
          </w:tcPr>
          <w:p>
            <w:pPr>
              <w:rPr>
                <w:highlight w:val="white"/>
              </w:rPr>
            </w:pPr>
            <w:r/>
            <w:bookmarkStart w:id="40" w:name="_Toc536605212"/>
            <w:r/>
            <w:bookmarkStart w:id="41" w:name="_Toc536624536"/>
            <w:r>
              <w:rPr>
                <w:highlight w:val="white"/>
              </w:rPr>
              <w:t xml:space="preserve">Порядок и срок отзыва заявок на участие, порядок внесения изменений в поданную заявку</w:t>
            </w:r>
            <w:bookmarkEnd w:id="39"/>
            <w:r/>
            <w:bookmarkEnd w:id="40"/>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Изменение и отзыв заявки на участие возможен до истечения окончания срока подачи заявок, установленного настоящим Извещением.</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20</w:t>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p>
        </w:tc>
        <w:tc>
          <w:tcPr>
            <w:tcW w:w="3306" w:type="pct"/>
            <w:vAlign w:val="center"/>
            <w:textDirection w:val="lrTb"/>
            <w:noWrap w:val="false"/>
          </w:tcPr>
          <w:p>
            <w:pPr>
              <w:jc w:val="both"/>
              <w:rPr>
                <w:b/>
                <w:color w:val="000000" w:themeColor="text1"/>
              </w:rPr>
            </w:pPr>
            <w:r>
              <w:rPr>
                <w:color w:val="000000" w:themeColor="text1"/>
              </w:rPr>
              <w:t xml:space="preserve">Дата начала подачи заявок – с момента размещения Извещения в ЕИС и на ЭТП </w:t>
            </w:r>
            <w:r>
              <w:rPr>
                <w:b/>
                <w:color w:val="000000" w:themeColor="text1"/>
              </w:rPr>
              <w:t xml:space="preserve">«10» июля 2026 г</w:t>
            </w:r>
            <w:r>
              <w:rPr>
                <w:rFonts w:eastAsia="MS Mincho"/>
                <w:b/>
                <w:color w:val="000000" w:themeColor="text1"/>
              </w:rPr>
              <w:t xml:space="preserve">.</w:t>
            </w:r>
            <w:r>
              <w:rPr>
                <w:b/>
                <w:color w:val="000000" w:themeColor="text1"/>
              </w:rPr>
            </w:r>
          </w:p>
          <w:p>
            <w:pPr>
              <w:jc w:val="both"/>
              <w:rPr>
                <w:color w:val="000000" w:themeColor="text1"/>
              </w:rPr>
            </w:pPr>
            <w:r>
              <w:rPr>
                <w:color w:val="000000" w:themeColor="text1"/>
              </w:rPr>
              <w:t xml:space="preserve">Дата окончания срока подачи заявок – 11 часов 00 минут по московскому времени </w:t>
            </w:r>
            <w:r>
              <w:rPr>
                <w:b/>
                <w:color w:val="000000" w:themeColor="text1"/>
              </w:rPr>
              <w:t xml:space="preserve">«17» июля 2026 г</w:t>
            </w:r>
            <w:r>
              <w:rPr>
                <w:rFonts w:eastAsia="MS Mincho"/>
                <w:b/>
                <w:color w:val="000000" w:themeColor="text1"/>
              </w:rPr>
              <w:t xml:space="preserve">.</w:t>
            </w:r>
            <w:r>
              <w:rPr>
                <w:rFonts w:eastAsia="MS Mincho"/>
                <w:color w:val="000000" w:themeColor="text1"/>
              </w:rPr>
              <w:t xml:space="preserve"> </w:t>
            </w:r>
            <w:r>
              <w:rPr>
                <w:color w:val="000000" w:themeColor="text1"/>
              </w:rPr>
              <w:t xml:space="preserve">через соответствующий функционал электронной торговой площадки АО «Российский аукционный дом». </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21</w:t>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Вскрытие заявок, поступивших на участие в закупке, состоится в 11:00 </w:t>
            </w:r>
            <w:r>
              <w:rPr>
                <w:b/>
                <w:color w:val="000000" w:themeColor="text1"/>
              </w:rPr>
              <w:t xml:space="preserve">«17» июля 2026 г</w:t>
            </w:r>
            <w:r>
              <w:rPr>
                <w:rFonts w:eastAsia="MS Mincho"/>
                <w:color w:val="000000" w:themeColor="text1"/>
              </w:rPr>
              <w:t xml:space="preserve">. </w:t>
            </w:r>
            <w:r>
              <w:rPr>
                <w:color w:val="000000" w:themeColor="text1"/>
              </w:rPr>
              <w:t xml:space="preserve">посредством функционала электронной торговой площадки АО «Российский аукционный дом». </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22</w:t>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p>
        </w:tc>
        <w:tc>
          <w:tcPr>
            <w:tcW w:w="3306" w:type="pct"/>
            <w:vAlign w:val="center"/>
            <w:textDirection w:val="lrTb"/>
            <w:noWrap w:val="false"/>
          </w:tcPr>
          <w:p>
            <w:pPr>
              <w:jc w:val="both"/>
              <w:rPr>
                <w:b/>
                <w:bCs/>
              </w:rPr>
            </w:pPr>
            <w:r>
              <w:rPr>
                <w:b/>
                <w:bCs/>
              </w:rPr>
            </w:r>
            <w:r>
              <w:rPr>
                <w:b/>
                <w:bCs/>
              </w:rPr>
            </w:r>
          </w:p>
          <w:p>
            <w:pPr>
              <w:jc w:val="both"/>
              <w:rPr>
                <w:b/>
                <w:bCs/>
              </w:rPr>
            </w:pPr>
            <w:r>
              <w:rPr>
                <w:b/>
              </w:rPr>
              <w:t xml:space="preserve">Не предусмотрена. </w:t>
            </w:r>
            <w:r>
              <w:rPr>
                <w:b/>
                <w:bCs/>
              </w:rPr>
            </w:r>
          </w:p>
          <w:p>
            <w:pPr>
              <w:jc w:val="both"/>
              <w:rPr>
                <w:b/>
                <w:color w:val="000000" w:themeColor="text1"/>
              </w:rPr>
            </w:pPr>
            <w:r>
              <w:rPr>
                <w:b/>
                <w:color w:val="000000" w:themeColor="text1"/>
              </w:rPr>
            </w:r>
            <w:r>
              <w:rPr>
                <w:b/>
                <w:color w:val="000000" w:themeColor="text1"/>
              </w:rPr>
            </w:r>
          </w:p>
        </w:tc>
      </w:tr>
      <w:tr>
        <w:tblPrEx/>
        <w:trPr/>
        <w:tc>
          <w:tcPr>
            <w:tcW w:w="307" w:type="pct"/>
            <w:vAlign w:val="center"/>
            <w:textDirection w:val="lrTb"/>
            <w:noWrap w:val="false"/>
          </w:tcPr>
          <w:p>
            <w:pPr>
              <w:rPr>
                <w:highlight w:val="white"/>
              </w:rPr>
            </w:pPr>
            <w:r>
              <w:rPr>
                <w:highlight w:val="white"/>
              </w:rPr>
              <w:t xml:space="preserve">23</w:t>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p>
        </w:tc>
        <w:tc>
          <w:tcPr>
            <w:tcW w:w="3306" w:type="pct"/>
            <w:vAlign w:val="center"/>
            <w:textDirection w:val="lrTb"/>
            <w:noWrap w:val="false"/>
          </w:tcPr>
          <w:p>
            <w:pPr>
              <w:jc w:val="both"/>
              <w:rPr>
                <w:color w:val="000000" w:themeColor="text1"/>
              </w:rPr>
            </w:pPr>
            <w:r>
              <w:rPr>
                <w:color w:val="000000" w:themeColor="text1"/>
              </w:rPr>
              <w:t xml:space="preserve">1) Рассмотрение заявок осуществляется не позднее </w:t>
            </w:r>
            <w:r>
              <w:rPr>
                <w:b/>
                <w:color w:val="000000" w:themeColor="text1"/>
              </w:rPr>
              <w:t xml:space="preserve">21:00  «</w:t>
            </w:r>
            <w:r>
              <w:rPr>
                <w:b/>
                <w:color w:val="000000" w:themeColor="text1"/>
              </w:rPr>
              <w:t xml:space="preserve">23» июля 2026 г.</w:t>
            </w:r>
            <w:r>
              <w:rPr>
                <w:color w:val="000000" w:themeColor="text1"/>
              </w:rPr>
              <w:t xml:space="preserve"> по московскому времени.</w:t>
            </w:r>
            <w:r>
              <w:rPr>
                <w:color w:val="000000" w:themeColor="text1"/>
              </w:rPr>
            </w:r>
          </w:p>
          <w:p>
            <w:pPr>
              <w:jc w:val="both"/>
              <w:rPr>
                <w:color w:val="000000" w:themeColor="text1"/>
              </w:rPr>
            </w:pPr>
            <w:r/>
            <w:bookmarkStart w:id="42" w:name="_Toc422209971"/>
            <w:r/>
            <w:bookmarkStart w:id="43" w:name="_Toc422226791"/>
            <w:r/>
            <w:bookmarkStart w:id="44" w:name="_Toc422244143"/>
            <w:r>
              <w:rPr>
                <w:color w:val="000000" w:themeColor="text1"/>
              </w:rPr>
              <w:t xml:space="preserve">2) Подведение итогов состоится: </w:t>
            </w:r>
            <w:bookmarkEnd w:id="41"/>
            <w:r/>
            <w:bookmarkEnd w:id="42"/>
            <w:r/>
            <w:bookmarkEnd w:id="43"/>
            <w:r>
              <w:rPr>
                <w:color w:val="000000" w:themeColor="text1"/>
              </w:rPr>
              <w:t xml:space="preserve">не позднее </w:t>
            </w:r>
            <w:r>
              <w:rPr>
                <w:b/>
                <w:color w:val="000000" w:themeColor="text1"/>
              </w:rPr>
              <w:t xml:space="preserve">21:00</w:t>
            </w:r>
            <w:r>
              <w:rPr>
                <w:b/>
                <w:color w:val="000000" w:themeColor="text1"/>
              </w:rPr>
              <w:br w:type="textWrapping" w:clear="all"/>
              <w:t xml:space="preserve">«23» июля 2026 г.</w:t>
            </w:r>
            <w:r>
              <w:rPr>
                <w:color w:val="000000" w:themeColor="text1"/>
              </w:rPr>
              <w:t xml:space="preserve"> по московскому времени.</w:t>
            </w:r>
            <w:r>
              <w:rPr>
                <w:color w:val="000000" w:themeColor="text1"/>
              </w:rPr>
            </w:r>
          </w:p>
        </w:tc>
      </w:tr>
      <w:tr>
        <w:tblPrEx/>
        <w:trPr/>
        <w:tc>
          <w:tcPr>
            <w:tcW w:w="307" w:type="pct"/>
            <w:vAlign w:val="center"/>
            <w:textDirection w:val="lrTb"/>
            <w:noWrap w:val="false"/>
          </w:tcPr>
          <w:p>
            <w:pPr>
              <w:rPr>
                <w:highlight w:val="white"/>
              </w:rPr>
            </w:pPr>
            <w:r>
              <w:rPr>
                <w:highlight w:val="white"/>
              </w:rPr>
              <w:t xml:space="preserve">24</w:t>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p>
        </w:tc>
        <w:tc>
          <w:tcPr>
            <w:tcW w:w="3306" w:type="pct"/>
            <w:vAlign w:val="center"/>
            <w:textDirection w:val="lrTb"/>
            <w:noWrap w:val="false"/>
          </w:tcPr>
          <w:p>
            <w:pPr>
              <w:jc w:val="both"/>
            </w:pPr>
            <w:r>
              <w:t xml:space="preserve">Указаны в приложении №1 к настоящему Извещению.</w:t>
            </w:r>
            <w:r/>
          </w:p>
        </w:tc>
      </w:tr>
      <w:tr>
        <w:tblPrEx/>
        <w:trPr/>
        <w:tc>
          <w:tcPr>
            <w:tcW w:w="307" w:type="pct"/>
            <w:vAlign w:val="center"/>
            <w:textDirection w:val="lrTb"/>
            <w:noWrap w:val="false"/>
          </w:tcPr>
          <w:p>
            <w:pPr>
              <w:rPr>
                <w:highlight w:val="white"/>
              </w:rPr>
            </w:pPr>
            <w:r>
              <w:rPr>
                <w:highlight w:val="white"/>
              </w:rPr>
              <w:t xml:space="preserve">25</w:t>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p>
        </w:tc>
        <w:tc>
          <w:tcPr>
            <w:tcW w:w="3306" w:type="pct"/>
            <w:vAlign w:val="center"/>
            <w:textDirection w:val="lrTb"/>
            <w:noWrap w:val="false"/>
          </w:tcPr>
          <w:p>
            <w:pPr>
              <w:jc w:val="both"/>
            </w:pPr>
            <w:r>
              <w:t xml:space="preserve">Указаны в приложении №1 к настоящему Извещению.</w:t>
            </w:r>
            <w:r/>
          </w:p>
        </w:tc>
      </w:tr>
      <w:tr>
        <w:tblPrEx/>
        <w:trPr/>
        <w:tc>
          <w:tcPr>
            <w:tcW w:w="307" w:type="pct"/>
            <w:vAlign w:val="center"/>
            <w:textDirection w:val="lrTb"/>
            <w:noWrap w:val="false"/>
          </w:tcPr>
          <w:p>
            <w:pPr>
              <w:rPr>
                <w:highlight w:val="white"/>
              </w:rPr>
            </w:pPr>
            <w:r>
              <w:rPr>
                <w:highlight w:val="white"/>
              </w:rPr>
              <w:t xml:space="preserve">26</w:t>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p>
        </w:tc>
        <w:tc>
          <w:tcPr>
            <w:tcW w:w="3306" w:type="pct"/>
            <w:vAlign w:val="center"/>
            <w:textDirection w:val="lrTb"/>
            <w:noWrap w:val="false"/>
          </w:tcPr>
          <w:p>
            <w:pPr>
              <w:jc w:val="both"/>
            </w:pPr>
            <w:r>
              <w:t xml:space="preserve">Указан в приложении №2 к настоящему Извещению.</w:t>
            </w:r>
            <w:r/>
          </w:p>
        </w:tc>
      </w:tr>
      <w:tr>
        <w:tblPrEx/>
        <w:trPr/>
        <w:tc>
          <w:tcPr>
            <w:tcW w:w="307" w:type="pct"/>
            <w:vAlign w:val="center"/>
            <w:textDirection w:val="lrTb"/>
            <w:noWrap w:val="false"/>
          </w:tcPr>
          <w:p>
            <w:pPr>
              <w:rPr>
                <w:highlight w:val="white"/>
              </w:rPr>
            </w:pPr>
            <w:r>
              <w:rPr>
                <w:highlight w:val="white"/>
              </w:rPr>
              <w:t xml:space="preserve">27</w:t>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p>
        </w:tc>
        <w:tc>
          <w:tcPr>
            <w:tcW w:w="3306" w:type="pct"/>
            <w:vAlign w:val="center"/>
            <w:textDirection w:val="lrTb"/>
            <w:noWrap w:val="false"/>
          </w:tcPr>
          <w:p>
            <w:pPr>
              <w:jc w:val="both"/>
            </w:pPr>
            <w:r>
              <w:t xml:space="preserve">Условия и порядок предоставления национального режима закупок товаров российского происхождения, работ, ус</w:t>
            </w:r>
            <w:r>
              <w:t xml:space="preserve">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p>
        </w:tc>
      </w:tr>
      <w:tr>
        <w:tblPrEx/>
        <w:trPr/>
        <w:tc>
          <w:tcPr>
            <w:tcW w:w="307" w:type="pct"/>
            <w:vAlign w:val="center"/>
            <w:textDirection w:val="lrTb"/>
            <w:noWrap w:val="false"/>
          </w:tcPr>
          <w:p>
            <w:pPr>
              <w:rPr>
                <w:highlight w:val="white"/>
              </w:rPr>
            </w:pPr>
            <w:r>
              <w:rPr>
                <w:highlight w:val="white"/>
              </w:rPr>
              <w:t xml:space="preserve">28</w:t>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p>
        </w:tc>
        <w:tc>
          <w:tcPr>
            <w:tcW w:w="3306" w:type="pct"/>
            <w:vAlign w:val="center"/>
            <w:textDirection w:val="lrTb"/>
            <w:noWrap w:val="false"/>
          </w:tcPr>
          <w:p>
            <w:pPr>
              <w:jc w:val="both"/>
            </w:pPr>
            <w:r>
              <w:t xml:space="preserve">Не требуется</w:t>
            </w:r>
            <w:r/>
          </w:p>
        </w:tc>
      </w:tr>
      <w:tr>
        <w:tblPrEx/>
        <w:trPr/>
        <w:tc>
          <w:tcPr>
            <w:tcW w:w="307" w:type="pct"/>
            <w:vAlign w:val="center"/>
            <w:textDirection w:val="lrTb"/>
            <w:noWrap w:val="false"/>
          </w:tcPr>
          <w:p>
            <w:pPr>
              <w:rPr>
                <w:highlight w:val="white"/>
              </w:rPr>
            </w:pPr>
            <w:r>
              <w:rPr>
                <w:highlight w:val="white"/>
              </w:rPr>
              <w:t xml:space="preserve">29</w:t>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p>
        </w:tc>
        <w:tc>
          <w:tcPr>
            <w:tcW w:w="3306" w:type="pct"/>
            <w:vAlign w:val="center"/>
            <w:textDirection w:val="lrTb"/>
            <w:noWrap w:val="false"/>
          </w:tcPr>
          <w:p>
            <w:pPr>
              <w:jc w:val="both"/>
            </w:pPr>
            <w:r>
              <w:t xml:space="preserve">Случаи предоставления обеспечения по договору указаны в Приложении №6 «Условия выбора финансового обеспечения» к Извещению.</w:t>
            </w:r>
            <w:r/>
          </w:p>
          <w:p>
            <w:pPr>
              <w:jc w:val="both"/>
            </w:pPr>
            <w:r>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r/>
          </w:p>
        </w:tc>
      </w:tr>
      <w:tr>
        <w:tblPrEx/>
        <w:trPr/>
        <w:tc>
          <w:tcPr>
            <w:tcW w:w="307" w:type="pct"/>
            <w:vAlign w:val="center"/>
            <w:textDirection w:val="lrTb"/>
            <w:noWrap w:val="false"/>
          </w:tcPr>
          <w:p>
            <w:pPr>
              <w:rPr>
                <w:highlight w:val="white"/>
              </w:rPr>
            </w:pPr>
            <w:r>
              <w:rPr>
                <w:highlight w:val="white"/>
              </w:rPr>
              <w:t xml:space="preserve">30</w:t>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участие в закупке</w:t>
            </w:r>
            <w:bookmarkEnd w:id="44"/>
            <w:r/>
            <w:bookmarkEnd w:id="45"/>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запроса цен. Инструкция по подготовке заявок участниками.</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p>
          <w:p>
            <w:pPr>
              <w:jc w:val="both"/>
              <w:rPr>
                <w:highlight w:val="white"/>
              </w:rPr>
            </w:pP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p>
    <w:p>
      <w:pPr>
        <w:pStyle w:val="961"/>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
        <w:rPr>
          <w:rFonts w:ascii="Times New Roman" w:hAnsi="Times New Roman" w:cs="Times New Roman"/>
          <w:highlight w:val="white"/>
        </w:rPr>
      </w:r>
    </w:p>
    <w:p>
      <w:pPr>
        <w:rPr>
          <w:highlight w:val="white"/>
        </w:rPr>
      </w:pPr>
      <w:r>
        <w:rPr>
          <w:highlight w:val="white"/>
        </w:rPr>
      </w:r>
      <w:r>
        <w:rPr>
          <w:highlight w:val="white"/>
        </w:rPr>
      </w:r>
    </w:p>
    <w:p>
      <w:pPr>
        <w:pStyle w:val="961"/>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1133"/>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w:t>
      </w:r>
      <w:r>
        <w:rPr>
          <w:bCs w:val="0"/>
          <w:szCs w:val="24"/>
          <w:highlight w:val="white"/>
        </w:rPr>
        <w:t xml:space="preserve">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p>
    <w:p>
      <w:pPr>
        <w:pStyle w:val="1191"/>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p>
    <w:p>
      <w:pPr>
        <w:pStyle w:val="1191"/>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p>
    <w:p>
      <w:pPr>
        <w:pStyle w:val="961"/>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
        <w:rPr>
          <w:rFonts w:ascii="Times New Roman" w:hAnsi="Times New Roman" w:cs="Times New Roman"/>
          <w:i w:val="0"/>
          <w:sz w:val="24"/>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
        <w:rPr>
          <w:sz w:val="24"/>
          <w:szCs w:val="24"/>
          <w:highlight w:val="white"/>
        </w:rPr>
      </w:r>
    </w:p>
    <w:p>
      <w:pPr>
        <w:pStyle w:val="1192"/>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p>
    <w:p>
      <w:pPr>
        <w:pStyle w:val="1192"/>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
        <w:rPr>
          <w:sz w:val="24"/>
          <w:szCs w:val="24"/>
          <w:highlight w:val="white"/>
          <w:u w:val="single"/>
        </w:rPr>
      </w:r>
    </w:p>
    <w:p>
      <w:pPr>
        <w:pStyle w:val="1191"/>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p>
    <w:p>
      <w:pPr>
        <w:pStyle w:val="1191"/>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p>
    <w:p>
      <w:pPr>
        <w:pStyle w:val="1191"/>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w:t>
      </w:r>
      <w:r>
        <w:rPr>
          <w:szCs w:val="24"/>
          <w:highlight w:val="white"/>
        </w:rPr>
      </w:r>
    </w:p>
    <w:p>
      <w:pPr>
        <w:pStyle w:val="1191"/>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p>
    <w:p>
      <w:pPr>
        <w:pStyle w:val="1191"/>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w:t>
      </w:r>
      <w:r>
        <w:rPr>
          <w:szCs w:val="24"/>
          <w:highlight w:val="white"/>
        </w:rPr>
        <w:t xml:space="preserve">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выполнение работ «Под ключ» по высоковольтным объектам</w:t>
      </w:r>
      <w:r>
        <w:rPr>
          <w:highlight w:val="white"/>
        </w:rPr>
        <w:t xml:space="preserve">)</w:t>
      </w:r>
      <w:r>
        <w:rPr>
          <w:highlight w:val="white"/>
        </w:rPr>
      </w:r>
    </w:p>
    <w:p>
      <w:pPr>
        <w:pStyle w:val="1191"/>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p>
    <w:p>
      <w:pPr>
        <w:pStyle w:val="961"/>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w:t>
      </w:r>
      <w:r>
        <w:rPr>
          <w:rFonts w:ascii="Times New Roman" w:hAnsi="Times New Roman" w:cs="Times New Roman"/>
          <w:b w:val="0"/>
          <w:i w:val="0"/>
          <w:sz w:val="24"/>
          <w:szCs w:val="24"/>
          <w:highlight w:val="white"/>
        </w:rPr>
        <w:t xml:space="preserve">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w:t>
      </w:r>
      <w:r>
        <w:rPr>
          <w:rFonts w:ascii="Times New Roman" w:hAnsi="Times New Roman" w:cs="Times New Roman"/>
          <w:b w:val="0"/>
          <w:i w:val="0"/>
          <w:sz w:val="24"/>
          <w:szCs w:val="24"/>
          <w:highlight w:val="white"/>
        </w:rPr>
        <w:t xml:space="preserve">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p>
          <w:p>
            <w:pPr>
              <w:jc w:val="center"/>
              <w:rPr>
                <w:b/>
                <w:highlight w:val="white"/>
              </w:rPr>
            </w:pPr>
            <w:r>
              <w:rPr>
                <w:b/>
                <w:highlight w:val="white"/>
              </w:rPr>
              <w:t xml:space="preserve">(гр. 2 х гр. 3)</w:t>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p>
        </w:tc>
      </w:tr>
    </w:tbl>
    <w:p>
      <w:pPr>
        <w:pStyle w:val="1191"/>
        <w:ind w:firstLine="993"/>
        <w:tabs>
          <w:tab w:val="left" w:pos="993" w:leader="none"/>
        </w:tabs>
        <w:rPr>
          <w:highlight w:val="white"/>
        </w:rPr>
      </w:pPr>
      <w:r>
        <w:rPr>
          <w:highlight w:val="white"/>
        </w:rPr>
      </w:r>
      <w:r>
        <w:rPr>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право в соответствии с законо</w:t>
      </w:r>
      <w:r>
        <w:rPr>
          <w:sz w:val="24"/>
          <w:szCs w:val="24"/>
          <w:highlight w:val="white"/>
        </w:rPr>
        <w:t xml:space="preserve">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r>
        <w:rPr>
          <w:sz w:val="24"/>
          <w:szCs w:val="24"/>
          <w:highlight w:val="white"/>
        </w:rPr>
        <w:t xml:space="preserve">площадке  </w:t>
      </w:r>
      <w:hyperlink r:id="rId24" w:tooltip="http://www.tender.lot-online.ru" w:history="1">
        <w:r>
          <w:rPr>
            <w:rStyle w:val="1130"/>
            <w:highlight w:val="white"/>
          </w:rPr>
          <w:t xml:space="preserve">www.</w:t>
        </w:r>
        <w:r>
          <w:rPr>
            <w:rStyle w:val="1130"/>
            <w:highlight w:val="white"/>
            <w:lang w:val="en-US"/>
          </w:rPr>
          <w:t xml:space="preserve">tender</w:t>
        </w:r>
        <w:r>
          <w:rPr>
            <w:rStyle w:val="1130"/>
            <w:highlight w:val="white"/>
          </w:rPr>
          <w:t xml:space="preserve">.</w:t>
        </w:r>
        <w:r>
          <w:rPr>
            <w:rStyle w:val="1130"/>
            <w:highlight w:val="white"/>
            <w:lang w:val="en-US"/>
          </w:rPr>
          <w:t xml:space="preserve">lot</w:t>
        </w:r>
        <w:r>
          <w:rPr>
            <w:rStyle w:val="1130"/>
            <w:highlight w:val="white"/>
          </w:rPr>
          <w:t xml:space="preserve">-</w:t>
        </w:r>
        <w:r>
          <w:rPr>
            <w:rStyle w:val="1130"/>
            <w:highlight w:val="white"/>
            <w:lang w:val="en-US"/>
          </w:rPr>
          <w:t xml:space="preserve">online</w:t>
        </w:r>
        <w:r>
          <w:rPr>
            <w:rStyle w:val="1130"/>
            <w:highlight w:val="white"/>
          </w:rPr>
          <w:t xml:space="preserve">.</w:t>
        </w:r>
        <w:r>
          <w:rPr>
            <w:rStyle w:val="1130"/>
            <w:highlight w:val="white"/>
          </w:rPr>
          <w:t xml:space="preserve">ru</w:t>
        </w:r>
      </w:hyperlink>
      <w:r>
        <w:rPr>
          <w:sz w:val="24"/>
          <w:szCs w:val="24"/>
          <w:highlight w:val="white"/>
        </w:rPr>
        <w:t xml:space="preserve"> в доступном для прочтения формате (предпочтительнее формат *.</w:t>
      </w:r>
      <w:r>
        <w:rPr>
          <w:sz w:val="24"/>
          <w:szCs w:val="24"/>
          <w:highlight w:val="white"/>
        </w:rPr>
        <w:t xml:space="preserve">pdf</w:t>
      </w:r>
      <w:r>
        <w:rPr>
          <w:sz w:val="24"/>
          <w:szCs w:val="24"/>
          <w:highlight w:val="white"/>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r>
        <w:rPr>
          <w:i/>
          <w:sz w:val="24"/>
          <w:szCs w:val="24"/>
          <w:highlight w:val="white"/>
        </w:rPr>
        <w:t xml:space="preserve">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w:t>
      </w:r>
      <w:r>
        <w:rPr>
          <w:bCs/>
          <w:sz w:val="24"/>
          <w:szCs w:val="24"/>
          <w:highlight w:val="white"/>
        </w:rPr>
        <w:t xml:space="preserve">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w:t>
      </w:r>
      <w:r>
        <w:rPr>
          <w:sz w:val="24"/>
          <w:szCs w:val="24"/>
          <w:highlight w:val="white"/>
        </w:rPr>
        <w:t xml:space="preserve">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ограничиваясь, расходы на перевозку, страхование, уплату таможенных пошлин, налогов и других обязательных платежей.</w:t>
      </w:r>
      <w:r>
        <w:rPr>
          <w:sz w:val="24"/>
          <w:szCs w:val="24"/>
          <w:highlight w:val="white"/>
        </w:rPr>
      </w:r>
    </w:p>
    <w:p>
      <w:pPr>
        <w:pStyle w:val="1192"/>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
        <w:rPr>
          <w:sz w:val="24"/>
          <w:szCs w:val="24"/>
          <w:highlight w:val="white"/>
        </w:rPr>
      </w:r>
    </w:p>
    <w:p>
      <w:pPr>
        <w:pStyle w:val="1192"/>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p>
    <w:p>
      <w:pPr>
        <w:pStyle w:val="1192"/>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основанием для отклонения Заявки.</w:t>
      </w:r>
      <w:r>
        <w:rPr>
          <w:sz w:val="24"/>
          <w:szCs w:val="24"/>
          <w:highlight w:val="white"/>
        </w:rPr>
      </w:r>
    </w:p>
    <w:p>
      <w:pPr>
        <w:pStyle w:val="1192"/>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
        <w:rPr>
          <w:sz w:val="24"/>
          <w:szCs w:val="24"/>
          <w:highlight w:val="white"/>
        </w:rPr>
      </w:r>
    </w:p>
    <w:p>
      <w:pPr>
        <w:pStyle w:val="1191"/>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p>
    <w:p>
      <w:pPr>
        <w:pStyle w:val="1191"/>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r>
        <w:rPr>
          <w:szCs w:val="24"/>
          <w:highlight w:val="white"/>
        </w:rPr>
        <w:t xml:space="preserve">апостилированный</w:t>
      </w:r>
      <w:r>
        <w:rPr>
          <w:szCs w:val="24"/>
          <w:highlight w:val="white"/>
        </w:rPr>
        <w:t xml:space="preserve">).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Pr>
          <w:szCs w:val="24"/>
          <w:highlight w:val="white"/>
        </w:rPr>
      </w:r>
    </w:p>
    <w:p>
      <w:pPr>
        <w:pStyle w:val="1191"/>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p>
    <w:p>
      <w:pPr>
        <w:pStyle w:val="1191"/>
        <w:ind w:left="567" w:firstLine="0"/>
        <w:widowControl w:val="off"/>
        <w:tabs>
          <w:tab w:val="left" w:pos="1134" w:leader="none"/>
        </w:tabs>
        <w:rPr>
          <w:szCs w:val="24"/>
          <w:highlight w:val="white"/>
        </w:rPr>
      </w:pPr>
      <w:r>
        <w:rPr>
          <w:szCs w:val="24"/>
          <w:highlight w:val="white"/>
        </w:rPr>
      </w:r>
      <w:r>
        <w:rPr>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
        <w:rPr>
          <w:sz w:val="24"/>
          <w:szCs w:val="24"/>
          <w:highlight w:val="white"/>
        </w:rPr>
      </w:r>
    </w:p>
    <w:p>
      <w:pPr>
        <w:pStyle w:val="1191"/>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исключением нижеследующего.</w:t>
      </w:r>
      <w:r>
        <w:rPr>
          <w:szCs w:val="24"/>
          <w:highlight w:val="white"/>
        </w:rPr>
      </w:r>
    </w:p>
    <w:p>
      <w:pPr>
        <w:pStyle w:val="1191"/>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w:t>
      </w:r>
      <w:r>
        <w:rPr>
          <w:szCs w:val="24"/>
          <w:highlight w:val="white"/>
        </w:rPr>
        <w:t xml:space="preserve">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p>
    <w:p>
      <w:pPr>
        <w:pStyle w:val="1191"/>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изменении официального курса валюты.</w:t>
      </w:r>
      <w:r>
        <w:rPr>
          <w:szCs w:val="24"/>
          <w:highlight w:val="white"/>
        </w:rPr>
      </w:r>
    </w:p>
    <w:p>
      <w:pPr>
        <w:pStyle w:val="1191"/>
        <w:ind w:left="567" w:firstLine="0"/>
        <w:widowControl w:val="off"/>
        <w:tabs>
          <w:tab w:val="left" w:pos="1134" w:leader="none"/>
        </w:tabs>
        <w:rPr>
          <w:szCs w:val="24"/>
          <w:highlight w:val="white"/>
        </w:rPr>
      </w:pPr>
      <w:r>
        <w:rPr>
          <w:szCs w:val="24"/>
          <w:highlight w:val="white"/>
        </w:rPr>
      </w:r>
      <w:r>
        <w:rPr>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
        <w:rPr>
          <w:sz w:val="24"/>
          <w:szCs w:val="24"/>
          <w:highlight w:val="white"/>
        </w:rPr>
      </w:r>
    </w:p>
    <w:p>
      <w:pPr>
        <w:pStyle w:val="1161"/>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
        <w:rPr>
          <w:highlight w:val="white"/>
        </w:rPr>
      </w:r>
    </w:p>
    <w:p>
      <w:pPr>
        <w:pStyle w:val="1161"/>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
        <w:rPr>
          <w:highlight w:val="white"/>
        </w:rPr>
      </w:r>
    </w:p>
    <w:p>
      <w:pPr>
        <w:pStyle w:val="961"/>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
        <w:rPr>
          <w:rFonts w:ascii="Times New Roman" w:hAnsi="Times New Roman" w:cs="Times New Roman"/>
          <w:i w:val="0"/>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w:t>
      </w:r>
      <w:r>
        <w:rPr>
          <w:sz w:val="24"/>
          <w:szCs w:val="24"/>
          <w:highlight w:val="white"/>
        </w:rPr>
        <w:t xml:space="preserve">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Организатором Запроса цен в соответствии с этим.</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p>
    <w:p>
      <w:pPr>
        <w:ind w:left="567"/>
        <w:jc w:val="both"/>
        <w:widowControl w:val="off"/>
        <w:rPr>
          <w:bCs/>
          <w:highlight w:val="white"/>
        </w:rPr>
      </w:pPr>
      <w:r>
        <w:rPr>
          <w:bCs/>
          <w:highlight w:val="white"/>
        </w:rPr>
      </w:r>
      <w:r>
        <w:rPr>
          <w:bCs/>
          <w:highlight w:val="white"/>
        </w:rPr>
      </w:r>
    </w:p>
    <w:p>
      <w:pPr>
        <w:pStyle w:val="961"/>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
        <w:rPr>
          <w:rFonts w:ascii="Times New Roman" w:hAnsi="Times New Roman" w:cs="Times New Roman"/>
          <w:bCs w:val="0"/>
          <w:i w:val="0"/>
          <w:iCs w:val="0"/>
          <w:sz w:val="24"/>
          <w:szCs w:val="24"/>
          <w:highlight w:val="white"/>
        </w:rPr>
      </w:r>
    </w:p>
    <w:p>
      <w:pPr>
        <w:pStyle w:val="1208"/>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w:t>
      </w:r>
      <w:r>
        <w:rPr>
          <w:sz w:val="24"/>
          <w:szCs w:val="24"/>
          <w:highlight w:val="white"/>
        </w:rPr>
        <w:t xml:space="preserve">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r>
        <w:rPr>
          <w:sz w:val="24"/>
          <w:szCs w:val="24"/>
          <w:highlight w:val="white"/>
        </w:rPr>
        <w:t xml:space="preserve">Россети</w:t>
      </w:r>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xml:space="preserve">.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p>
    <w:p>
      <w:pPr>
        <w:pStyle w:val="1208"/>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Pr>
          <w:bCs/>
          <w:sz w:val="24"/>
          <w:szCs w:val="24"/>
          <w:highlight w:val="white"/>
        </w:rPr>
      </w:r>
    </w:p>
    <w:p>
      <w:pPr>
        <w:pStyle w:val="1208"/>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 xml:space="preserve">г. Москвы</w:t>
      </w:r>
      <w:r>
        <w:rPr>
          <w:sz w:val="24"/>
          <w:szCs w:val="24"/>
          <w:highlight w:val="white"/>
        </w:rPr>
        <w:t xml:space="preserve">. </w:t>
      </w:r>
      <w:r>
        <w:rPr>
          <w:highlight w:val="white"/>
        </w:rPr>
      </w:r>
    </w:p>
    <w:p>
      <w:pPr>
        <w:pStyle w:val="1208"/>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p>
    <w:p>
      <w:pPr>
        <w:pStyle w:val="961"/>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
        <w:rPr>
          <w:rFonts w:ascii="Times New Roman" w:hAnsi="Times New Roman" w:cs="Times New Roman"/>
          <w:bCs w:val="0"/>
          <w:i w:val="0"/>
          <w:iCs w:val="0"/>
          <w:sz w:val="24"/>
          <w:szCs w:val="24"/>
          <w:highlight w:val="white"/>
        </w:rPr>
      </w:r>
    </w:p>
    <w:p>
      <w:pPr>
        <w:pStyle w:val="1208"/>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w:t>
      </w:r>
      <w:r>
        <w:rPr>
          <w:sz w:val="24"/>
          <w:szCs w:val="24"/>
          <w:highlight w:val="white"/>
        </w:rPr>
        <w:t xml:space="preserve">Россети</w:t>
      </w:r>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r>
        <w:rPr>
          <w:sz w:val="24"/>
          <w:szCs w:val="24"/>
          <w:highlight w:val="white"/>
        </w:rPr>
        <w:t xml:space="preserve">Россети</w:t>
      </w:r>
      <w:r>
        <w:rPr>
          <w:sz w:val="24"/>
          <w:szCs w:val="24"/>
          <w:highlight w:val="white"/>
        </w:rPr>
        <w:t xml:space="preserve">»). Ознакомится с антикоррупционной политикой Общества можно на официальном сайте ПАО «</w:t>
      </w:r>
      <w:r>
        <w:rPr>
          <w:sz w:val="24"/>
          <w:szCs w:val="24"/>
          <w:highlight w:val="white"/>
        </w:rPr>
        <w:t xml:space="preserve">Россети</w:t>
      </w:r>
      <w:r>
        <w:rPr>
          <w:sz w:val="24"/>
          <w:szCs w:val="24"/>
          <w:highlight w:val="white"/>
        </w:rPr>
        <w:t xml:space="preserve">» по адресу: http://www.rosseti.ru/about/anticorruptionpolicy/policy/index.php).</w:t>
      </w:r>
      <w:r>
        <w:rPr>
          <w:sz w:val="24"/>
          <w:szCs w:val="24"/>
          <w:highlight w:val="white"/>
        </w:rPr>
        <w:br w:type="page" w:clear="all"/>
      </w:r>
      <w:r>
        <w:rPr>
          <w:sz w:val="24"/>
          <w:szCs w:val="24"/>
          <w:highlight w:val="white"/>
        </w:rPr>
      </w:r>
    </w:p>
    <w:p>
      <w:pPr>
        <w:pStyle w:val="961"/>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r/>
      <w:r>
        <w:rPr>
          <w:rFonts w:ascii="Times New Roman" w:hAnsi="Times New Roman" w:cs="Times New Roman"/>
          <w:highlight w:val="white"/>
        </w:rPr>
      </w:r>
    </w:p>
    <w:p>
      <w:pPr>
        <w:rPr>
          <w:highlight w:val="white"/>
        </w:rPr>
      </w:pPr>
      <w:r>
        <w:rPr>
          <w:highlight w:val="white"/>
        </w:rPr>
      </w:r>
      <w:r>
        <w:rPr>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
        <w:rPr>
          <w:rFonts w:ascii="Times New Roman" w:hAnsi="Times New Roman" w:cs="Times New Roman"/>
          <w:i w:val="0"/>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w:t>
      </w:r>
      <w:r>
        <w:rPr>
          <w:sz w:val="24"/>
          <w:szCs w:val="24"/>
          <w:highlight w:val="white"/>
        </w:rPr>
        <w:t xml:space="preserve">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r>
        <w:rPr>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w:t>
      </w:r>
      <w:r>
        <w:rPr>
          <w:sz w:val="24"/>
          <w:szCs w:val="24"/>
          <w:highlight w:val="white"/>
        </w:rPr>
        <w:t xml:space="preserve">.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p>
    <w:p>
      <w:pPr>
        <w:pStyle w:val="1195"/>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p>
    <w:p>
      <w:pPr>
        <w:pStyle w:val="1195"/>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w:t>
      </w:r>
      <w:r>
        <w:rPr>
          <w:sz w:val="24"/>
          <w:szCs w:val="24"/>
          <w:highlight w:val="white"/>
        </w:rPr>
        <w:t xml:space="preserve">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w:t>
      </w:r>
      <w:r>
        <w:rPr>
          <w:sz w:val="24"/>
          <w:szCs w:val="24"/>
          <w:highlight w:val="white"/>
        </w:rPr>
        <w:t xml:space="preserve">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происходящему из иностранного госуда</w:t>
      </w:r>
      <w:r>
        <w:rPr>
          <w:sz w:val="24"/>
          <w:szCs w:val="24"/>
          <w:highlight w:val="white"/>
        </w:rPr>
        <w:t xml:space="preserve">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r>
        <w:rPr>
          <w:sz w:val="24"/>
          <w:szCs w:val="24"/>
          <w:highlight w:val="white"/>
        </w:rPr>
      </w:r>
    </w:p>
    <w:p>
      <w:pPr>
        <w:pStyle w:val="1208"/>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p>
    <w:p>
      <w:pPr>
        <w:pStyle w:val="1208"/>
        <w:numPr>
          <w:ilvl w:val="0"/>
          <w:numId w:val="0"/>
        </w:numPr>
        <w:ind w:left="567"/>
        <w:spacing w:line="240" w:lineRule="auto"/>
        <w:tabs>
          <w:tab w:val="left" w:pos="851" w:leader="none"/>
        </w:tabs>
        <w:rPr>
          <w:sz w:val="24"/>
          <w:szCs w:val="24"/>
          <w:highlight w:val="white"/>
        </w:rPr>
      </w:pPr>
      <w:r>
        <w:rPr>
          <w:sz w:val="24"/>
          <w:szCs w:val="24"/>
          <w:highlight w:val="white"/>
        </w:rPr>
        <w:t xml:space="preserve">б) ограничение закупок товаров (в том числе поставляемых при </w:t>
      </w:r>
      <w:r>
        <w:rPr>
          <w:sz w:val="24"/>
          <w:szCs w:val="24"/>
          <w:highlight w:val="white"/>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sz w:val="24"/>
          <w:szCs w:val="24"/>
          <w:highlight w:val="white"/>
        </w:rPr>
      </w:r>
    </w:p>
    <w:p>
      <w:pPr>
        <w:pStyle w:val="1208"/>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w:t>
      </w:r>
      <w:r>
        <w:rPr>
          <w:sz w:val="24"/>
          <w:szCs w:val="24"/>
          <w:highlight w:val="white"/>
        </w:rPr>
        <w:t xml:space="preserve">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sz w:val="24"/>
          <w:szCs w:val="24"/>
          <w:highlight w:val="white"/>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sz w:val="24"/>
          <w:szCs w:val="24"/>
          <w:highlight w:val="white"/>
        </w:rPr>
      </w:r>
    </w:p>
    <w:p>
      <w:pPr>
        <w:pStyle w:val="1192"/>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происходящего из иностранного государства;</w:t>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
        <w:rPr>
          <w:rFonts w:ascii="Times New Roman" w:hAnsi="Times New Roman" w:cs="Times New Roman"/>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r>
        <w:rPr>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w:t>
      </w:r>
      <w:r>
        <w:rPr>
          <w:rFonts w:ascii="Times New Roman" w:hAnsi="Times New Roman" w:cs="Times New Roman"/>
          <w:b w:val="0"/>
          <w:bCs w:val="0"/>
          <w:sz w:val="24"/>
          <w:szCs w:val="24"/>
          <w:highlight w:val="white"/>
        </w:rPr>
        <w:t xml:space="preserve">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
        <w:rPr>
          <w:rFonts w:ascii="Times New Roman" w:hAnsi="Times New Roman" w:cs="Times New Roman"/>
          <w:b w:val="0"/>
          <w:bCs w:val="0"/>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r>
        <w:rPr>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w:t>
      </w:r>
      <w:r>
        <w:rPr>
          <w:rFonts w:ascii="Times New Roman" w:hAnsi="Times New Roman" w:cs="Times New Roman"/>
          <w:b w:val="0"/>
          <w:bCs w:val="0"/>
          <w:sz w:val="24"/>
          <w:szCs w:val="24"/>
          <w:highlight w:val="white"/>
        </w:rPr>
        <w:t xml:space="preserve">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
        <w:rPr>
          <w:rFonts w:ascii="Times New Roman" w:hAnsi="Times New Roman" w:cs="Times New Roman"/>
          <w:b w:val="0"/>
          <w:bCs w:val="0"/>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w:t>
      </w:r>
      <w:r>
        <w:rPr>
          <w:rFonts w:ascii="Times New Roman" w:hAnsi="Times New Roman" w:cs="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
        <w:rPr>
          <w:rFonts w:ascii="Times New Roman" w:hAnsi="Times New Roman" w:cs="Times New Roman"/>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p>
    <w:p>
      <w:pPr>
        <w:pStyle w:val="1208"/>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w:t>
      </w:r>
      <w:r>
        <w:rPr>
          <w:sz w:val="24"/>
          <w:szCs w:val="24"/>
          <w:highlight w:val="white"/>
        </w:rPr>
        <w:t xml:space="preserve">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p>
    <w:p>
      <w:pPr>
        <w:pStyle w:val="1208"/>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w:t>
      </w:r>
      <w:r>
        <w:rPr>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w:t>
      </w:r>
      <w:r>
        <w:rPr>
          <w:rFonts w:ascii="Times New Roman" w:hAnsi="Times New Roman" w:cs="Times New Roman"/>
          <w:b w:val="0"/>
          <w:sz w:val="24"/>
          <w:szCs w:val="24"/>
          <w:highlight w:val="white"/>
        </w:rPr>
        <w:t xml:space="preserve">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пункта;</w:t>
      </w:r>
      <w:bookmarkEnd w:id="106"/>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
        <w:rPr>
          <w:rFonts w:ascii="Times New Roman" w:hAnsi="Times New Roman" w:cs="Times New Roman"/>
          <w:b w:val="0"/>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w:t>
      </w:r>
      <w:r>
        <w:rPr>
          <w:sz w:val="24"/>
          <w:szCs w:val="24"/>
          <w:highlight w:val="white"/>
        </w:rPr>
        <w:t xml:space="preserve">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w:t>
      </w:r>
      <w:r>
        <w:rPr>
          <w:sz w:val="24"/>
          <w:szCs w:val="24"/>
          <w:highlight w:val="white"/>
        </w:rPr>
        <w:t xml:space="preserve">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w:t>
      </w:r>
      <w:r>
        <w:rPr>
          <w:sz w:val="24"/>
          <w:szCs w:val="24"/>
          <w:highlight w:val="white"/>
        </w:rPr>
        <w:t xml:space="preserve">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w:t>
      </w:r>
      <w:r>
        <w:rPr>
          <w:sz w:val="24"/>
          <w:szCs w:val="24"/>
          <w:highlight w:val="white"/>
        </w:rPr>
        <w:t xml:space="preserve">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w:t>
      </w:r>
      <w:r>
        <w:rPr>
          <w:sz w:val="24"/>
          <w:szCs w:val="24"/>
          <w:highlight w:val="white"/>
        </w:rPr>
        <w:t xml:space="preserve">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p>
    <w:p>
      <w:pPr>
        <w:pStyle w:val="1192"/>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стадия</w:t>
      </w:r>
      <w:bookmarkEnd w:id="108"/>
      <w:r>
        <w:rPr>
          <w:rFonts w:ascii="Times New Roman" w:hAnsi="Times New Roman" w:cs="Times New Roman"/>
          <w:i w:val="0"/>
          <w:sz w:val="24"/>
          <w:szCs w:val="24"/>
          <w:highlight w:val="white"/>
        </w:rPr>
        <w:t xml:space="preserve">.</w:t>
      </w:r>
      <w:bookmarkEnd w:id="109"/>
      <w:r/>
      <w:r>
        <w:rPr>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w:t>
      </w:r>
      <w:r>
        <w:rPr>
          <w:sz w:val="24"/>
          <w:szCs w:val="24"/>
          <w:highlight w:val="white"/>
        </w:rPr>
        <w:t xml:space="preserve">заявки</w:t>
      </w:r>
      <w:r>
        <w:rPr>
          <w:sz w:val="24"/>
          <w:szCs w:val="24"/>
          <w:highlight w:val="white"/>
        </w:rPr>
        <w:t xml:space="preserve"> установленной НМЦ;</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w:t>
      </w:r>
      <w:r>
        <w:rPr>
          <w:sz w:val="24"/>
          <w:szCs w:val="24"/>
          <w:highlight w:val="white"/>
        </w:rPr>
        <w:t xml:space="preserve">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Участника в нечитаемом виде;</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r>
        <w:rPr>
          <w:sz w:val="24"/>
          <w:szCs w:val="24"/>
          <w:highlight w:val="white"/>
        </w:rPr>
        <w:t xml:space="preserve">пп</w:t>
      </w:r>
      <w:r>
        <w:rPr>
          <w:sz w:val="24"/>
          <w:szCs w:val="24"/>
          <w:highlight w:val="white"/>
        </w:rPr>
        <w:t xml:space="preserve">.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w:t>
      </w:r>
      <w:r>
        <w:rPr>
          <w:sz w:val="24"/>
          <w:szCs w:val="24"/>
          <w:highlight w:val="white"/>
        </w:rPr>
        <w:t xml:space="preserve">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w:t>
      </w:r>
      <w:r>
        <w:rPr>
          <w:sz w:val="24"/>
          <w:szCs w:val="24"/>
          <w:highlight w:val="white"/>
        </w:rPr>
        <w:t xml:space="preserve">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r>
        <w:rPr>
          <w:sz w:val="24"/>
          <w:szCs w:val="24"/>
          <w:highlight w:val="white"/>
        </w:rPr>
        <w:t xml:space="preserve">дозапросе</w:t>
      </w:r>
      <w:r>
        <w:rPr>
          <w:sz w:val="24"/>
          <w:szCs w:val="24"/>
          <w:highlight w:val="white"/>
        </w:rPr>
        <w:t xml:space="preserve">.</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w:t>
      </w:r>
      <w:r>
        <w:rPr>
          <w:sz w:val="24"/>
          <w:szCs w:val="24"/>
          <w:highlight w:val="white"/>
        </w:rPr>
        <w:t xml:space="preserve">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76"/>
          <w:sz w:val="24"/>
          <w:szCs w:val="24"/>
          <w:highlight w:val="white"/>
        </w:rPr>
        <w:t xml:space="preserve">в следующих случаях</w:t>
      </w:r>
      <w:r>
        <w:rPr>
          <w:sz w:val="24"/>
          <w:szCs w:val="24"/>
          <w:highlight w:val="white"/>
        </w:rPr>
        <w:t xml:space="preserve">:</w:t>
      </w:r>
      <w:bookmarkEnd w:id="110"/>
      <w:r/>
      <w:bookmarkEnd w:id="111"/>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r>
        <w:rPr>
          <w:sz w:val="24"/>
          <w:szCs w:val="24"/>
          <w:highlight w:val="white"/>
        </w:rPr>
        <w:t xml:space="preserve">т.п</w:t>
      </w:r>
      <w:r>
        <w:rPr>
          <w:sz w:val="24"/>
          <w:szCs w:val="24"/>
          <w:highlight w:val="white"/>
        </w:rPr>
        <w:t xml:space="preserve">;</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w:t>
      </w:r>
      <w:r>
        <w:rPr>
          <w:sz w:val="24"/>
          <w:szCs w:val="24"/>
          <w:highlight w:val="white"/>
        </w:rPr>
        <w:t xml:space="preserve"> или некорректного составления  документов, подт</w:t>
      </w:r>
      <w:r>
        <w:rPr>
          <w:sz w:val="24"/>
          <w:szCs w:val="24"/>
          <w:highlight w:val="white"/>
        </w:rPr>
        <w:t xml:space="preserve">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w:t>
      </w:r>
      <w:r>
        <w:rPr>
          <w:sz w:val="24"/>
          <w:szCs w:val="24"/>
          <w:highlight w:val="white"/>
        </w:rPr>
        <w:t xml:space="preserve">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w:t>
      </w:r>
      <w:r>
        <w:rPr>
          <w:sz w:val="24"/>
          <w:szCs w:val="24"/>
          <w:highlight w:val="white"/>
        </w:rPr>
        <w:t xml:space="preserve">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w:t>
      </w:r>
      <w:r>
        <w:rPr>
          <w:sz w:val="24"/>
          <w:szCs w:val="24"/>
          <w:highlight w:val="white"/>
        </w:rPr>
        <w:t xml:space="preserve">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w:t>
      </w:r>
      <w:r>
        <w:rPr>
          <w:sz w:val="24"/>
          <w:szCs w:val="24"/>
          <w:highlight w:val="white"/>
        </w:rPr>
        <w:t xml:space="preserve">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 грамматические ошибки, с исправлением которых не согласился Участник.</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w:t>
      </w:r>
      <w:r>
        <w:rPr>
          <w:sz w:val="24"/>
          <w:szCs w:val="24"/>
          <w:highlight w:val="white"/>
        </w:rPr>
        <w:t xml:space="preserve">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w:t>
      </w:r>
      <w:r>
        <w:rPr>
          <w:sz w:val="24"/>
          <w:szCs w:val="24"/>
          <w:highlight w:val="white"/>
        </w:rPr>
        <w:t xml:space="preserve">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w:t>
      </w:r>
      <w:r>
        <w:rPr>
          <w:sz w:val="24"/>
          <w:szCs w:val="24"/>
          <w:highlight w:val="white"/>
        </w:rPr>
        <w:t xml:space="preserve">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p>
    <w:p>
      <w:pPr>
        <w:pStyle w:val="1194"/>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соответствующей требованиям извещения о закупке;</w:t>
      </w:r>
      <w:r>
        <w:rPr>
          <w:sz w:val="24"/>
          <w:szCs w:val="24"/>
          <w:highlight w:val="white"/>
        </w:rPr>
      </w:r>
    </w:p>
    <w:p>
      <w:pPr>
        <w:pStyle w:val="1194"/>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договора будет выявлено, что решение Закупочной комиссии принято с наруше</w:t>
      </w:r>
      <w:r>
        <w:rPr>
          <w:sz w:val="24"/>
          <w:szCs w:val="24"/>
          <w:highlight w:val="white"/>
        </w:rPr>
        <w:t xml:space="preserve">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sz w:val="24"/>
          <w:szCs w:val="24"/>
          <w:highlight w:val="white"/>
        </w:rPr>
      </w:r>
    </w:p>
    <w:p>
      <w:pPr>
        <w:pStyle w:val="1194"/>
        <w:numPr>
          <w:ilvl w:val="0"/>
          <w:numId w:val="0"/>
        </w:numPr>
        <w:spacing w:line="240" w:lineRule="auto"/>
        <w:widowControl w:val="off"/>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w:t>
      </w:r>
      <w:r>
        <w:rPr>
          <w:sz w:val="24"/>
          <w:szCs w:val="24"/>
          <w:highlight w:val="white"/>
        </w:rPr>
        <w:t xml:space="preserve">ранжировке</w:t>
      </w:r>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w:t>
      </w:r>
      <w:r>
        <w:rPr>
          <w:sz w:val="24"/>
          <w:szCs w:val="24"/>
          <w:highlight w:val="white"/>
        </w:rPr>
        <w:t xml:space="preserve">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sz w:val="24"/>
          <w:szCs w:val="24"/>
          <w:highlight w:val="white"/>
        </w:rPr>
      </w:r>
    </w:p>
    <w:p>
      <w:pPr>
        <w:pStyle w:val="1192"/>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w:t>
      </w:r>
      <w:r>
        <w:rPr>
          <w:highlight w:val="white"/>
        </w:rPr>
        <w:t xml:space="preserve">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r>
        <w:rPr>
          <w:highlight w:val="white"/>
        </w:rPr>
        <w:t xml:space="preserve">непредоставления</w:t>
      </w:r>
      <w:r>
        <w:rPr>
          <w:highlight w:val="white"/>
        </w:rPr>
        <w:t xml:space="preserve"> данного документа/данных документов Участник считается не принявшим участие в переторжке.</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w:t>
      </w:r>
      <w:r>
        <w:rPr>
          <w:highlight w:val="white"/>
        </w:rPr>
        <w:t xml:space="preserve">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w:t>
      </w:r>
      <w:r>
        <w:rPr>
          <w:highlight w:val="white"/>
        </w:rPr>
        <w:t xml:space="preserve">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w:t>
      </w:r>
      <w:r>
        <w:rPr>
          <w:iCs/>
          <w:highlight w:val="white"/>
        </w:rPr>
        <w:t xml:space="preserve">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r>
        <w:rPr>
          <w:highlight w:val="white"/>
        </w:rPr>
        <w:t xml:space="preserve">информация</w:t>
      </w:r>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w:t>
      </w:r>
      <w:r>
        <w:rPr>
          <w:iCs/>
          <w:highlight w:val="white"/>
        </w:rPr>
        <w:t xml:space="preserve">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p>
    <w:p>
      <w:pPr>
        <w:pStyle w:val="1192"/>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только одна Заявка или не подано ни одной Заявки;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Участника закупки;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исключением одной заявки.</w:t>
      </w:r>
      <w:r>
        <w:rPr>
          <w:sz w:val="24"/>
          <w:szCs w:val="24"/>
          <w:highlight w:val="white"/>
        </w:rPr>
      </w:r>
    </w:p>
    <w:p>
      <w:pPr>
        <w:pStyle w:val="1205"/>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w:t>
      </w:r>
      <w:r>
        <w:rPr>
          <w:sz w:val="24"/>
          <w:szCs w:val="24"/>
          <w:highlight w:val="white"/>
        </w:rPr>
        <w:t xml:space="preserve">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r>
        <w:rPr>
          <w:sz w:val="24"/>
          <w:szCs w:val="24"/>
          <w:highlight w:val="white"/>
        </w:rPr>
        <w:t xml:space="preserve">изменением</w:t>
      </w:r>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p>
    <w:p>
      <w:pPr>
        <w:pStyle w:val="1205"/>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p>
    <w:p>
      <w:pPr>
        <w:pStyle w:val="1205"/>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highlight w:val="white"/>
        </w:rPr>
        <w:t xml:space="preserve">цен</w:t>
      </w:r>
      <w:r>
        <w:rPr>
          <w:sz w:val="24"/>
          <w:szCs w:val="24"/>
          <w:highlight w:val="white"/>
        </w:rPr>
        <w:t xml:space="preserve"> либо провести закупку иным способом, предусмотренным Положением о закупке Общества.</w:t>
      </w:r>
      <w:bookmarkEnd w:id="119"/>
      <w:r/>
      <w:r>
        <w:rPr>
          <w:sz w:val="24"/>
          <w:szCs w:val="24"/>
          <w:highlight w:val="white"/>
        </w:rPr>
      </w:r>
    </w:p>
    <w:p>
      <w:pPr>
        <w:pStyle w:val="1207"/>
        <w:numPr>
          <w:ilvl w:val="0"/>
          <w:numId w:val="0"/>
        </w:numPr>
        <w:widowControl w:val="off"/>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
        <w:rPr>
          <w:rFonts w:ascii="Times New Roman" w:hAnsi="Times New Roman" w:cs="Times New Roman"/>
          <w:i w:val="0"/>
          <w:sz w:val="24"/>
          <w:szCs w:val="24"/>
          <w:highlight w:val="white"/>
        </w:rPr>
      </w:r>
    </w:p>
    <w:p>
      <w:pPr>
        <w:pStyle w:val="1207"/>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Pr>
          <w:sz w:val="24"/>
          <w:szCs w:val="24"/>
          <w:highlight w:val="white"/>
        </w:rPr>
      </w:r>
    </w:p>
    <w:p>
      <w:pPr>
        <w:pStyle w:val="1207"/>
        <w:numPr>
          <w:ilvl w:val="0"/>
          <w:numId w:val="32"/>
        </w:numPr>
        <w:ind w:left="0" w:firstLine="567"/>
        <w:widowControl w:val="off"/>
        <w:tabs>
          <w:tab w:val="left" w:pos="993" w:leader="none"/>
        </w:tabs>
        <w:rPr>
          <w:sz w:val="24"/>
          <w:szCs w:val="24"/>
          <w:highlight w:val="white"/>
        </w:rPr>
      </w:pPr>
      <w:r>
        <w:rPr>
          <w:sz w:val="24"/>
          <w:szCs w:val="24"/>
          <w:highlight w:val="white"/>
        </w:rPr>
        <w:t xml:space="preserve">Пре</w:t>
      </w:r>
      <w:r>
        <w:rPr>
          <w:sz w:val="24"/>
          <w:szCs w:val="24"/>
          <w:highlight w:val="white"/>
        </w:rPr>
        <w:t xml:space="preserve">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highlight w:val="white"/>
        </w:rPr>
      </w:r>
    </w:p>
    <w:p>
      <w:pPr>
        <w:pStyle w:val="1207"/>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w:t>
      </w:r>
      <w:r>
        <w:rPr>
          <w:sz w:val="24"/>
          <w:szCs w:val="24"/>
          <w:highlight w:val="white"/>
        </w:rPr>
        <w:t xml:space="preserve">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p>
    <w:p>
      <w:pPr>
        <w:pStyle w:val="1207"/>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w:t>
      </w:r>
      <w:r>
        <w:rPr>
          <w:bCs/>
          <w:highlight w:val="white"/>
        </w:rPr>
        <w:t xml:space="preserve">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p>
    <w:p>
      <w:pPr>
        <w:ind w:left="567"/>
        <w:jc w:val="both"/>
        <w:widowControl w:val="off"/>
        <w:tabs>
          <w:tab w:val="left" w:pos="993" w:leader="none"/>
        </w:tabs>
        <w:rPr>
          <w:bCs/>
          <w:highlight w:val="white"/>
        </w:rPr>
      </w:pPr>
      <w:r>
        <w:rPr>
          <w:highlight w:val="white"/>
        </w:rPr>
        <w:t xml:space="preserve">б) </w:t>
      </w:r>
      <w:r>
        <w:rPr>
          <w:highlight w:val="white"/>
        </w:rPr>
        <w:t xml:space="preserve">непредоставления</w:t>
      </w:r>
      <w:r>
        <w:rPr>
          <w:highlight w:val="white"/>
        </w:rPr>
        <w:t xml:space="preserve"> или предоставление с нарушением услови</w:t>
      </w:r>
      <w:r>
        <w:rPr>
          <w:highlight w:val="white"/>
        </w:rPr>
        <w:t xml:space="preserve">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p>
    <w:p>
      <w:pPr>
        <w:pStyle w:val="1205"/>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случаев, определенных в п. </w:t>
      </w:r>
      <w:r>
        <w:rPr>
          <w:bCs/>
          <w:sz w:val="24"/>
          <w:szCs w:val="24"/>
          <w:highlight w:val="white"/>
        </w:rPr>
        <w:t xml:space="preserve">7.3.,</w:t>
      </w:r>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r>
        <w:rPr>
          <w:sz w:val="24"/>
          <w:szCs w:val="24"/>
          <w:highlight w:val="white"/>
        </w:rPr>
        <w:t xml:space="preserve">7.1.,</w:t>
      </w:r>
      <w:r>
        <w:rPr>
          <w:sz w:val="24"/>
          <w:szCs w:val="24"/>
          <w:highlight w:val="white"/>
        </w:rPr>
        <w:t xml:space="preserve"> 7.2. настоящего Приложения.</w:t>
      </w:r>
      <w:r>
        <w:rPr>
          <w:sz w:val="24"/>
          <w:szCs w:val="24"/>
          <w:highlight w:val="white"/>
        </w:rPr>
      </w:r>
    </w:p>
    <w:p>
      <w:pPr>
        <w:pStyle w:val="1205"/>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w:t>
      </w:r>
      <w:r>
        <w:rPr>
          <w:sz w:val="24"/>
          <w:szCs w:val="24"/>
          <w:highlight w:val="white"/>
        </w:rPr>
        <w:t xml:space="preserve">в случаях</w:t>
      </w:r>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p>
    <w:p>
      <w:pPr>
        <w:jc w:val="both"/>
        <w:widowControl w:val="off"/>
        <w:rPr>
          <w:highlight w:val="white"/>
        </w:rPr>
      </w:pPr>
      <w:r>
        <w:rPr>
          <w:highlight w:val="white"/>
        </w:rPr>
      </w:r>
      <w:r>
        <w:rPr>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w:t>
      </w:r>
      <w:r>
        <w:rPr>
          <w:bCs/>
          <w:highlight w:val="white"/>
        </w:rPr>
        <w:t xml:space="preserve">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p>
    <w:p>
      <w:pPr>
        <w:jc w:val="both"/>
        <w:widowControl w:val="off"/>
        <w:tabs>
          <w:tab w:val="num" w:pos="1134" w:leader="none"/>
        </w:tabs>
        <w:rPr>
          <w:b/>
          <w:highlight w:val="white"/>
        </w:rPr>
      </w:pPr>
      <w:r>
        <w:rPr>
          <w:b/>
          <w:highlight w:val="white"/>
        </w:rPr>
      </w:r>
      <w:r>
        <w:rPr>
          <w:b/>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
        <w:rPr>
          <w:rFonts w:ascii="Times New Roman" w:hAnsi="Times New Roman" w:cs="Times New Roman"/>
          <w:i w:val="0"/>
          <w:sz w:val="24"/>
          <w:szCs w:val="24"/>
          <w:highlight w:val="white"/>
        </w:rPr>
      </w:r>
    </w:p>
    <w:p>
      <w:pPr>
        <w:pStyle w:val="1161"/>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w:t>
      </w:r>
      <w:r>
        <w:rPr>
          <w:highlight w:val="white"/>
        </w:rPr>
        <w:t xml:space="preserve">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p>
    <w:p>
      <w:pPr>
        <w:pStyle w:val="1161"/>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w:t>
      </w:r>
      <w:r>
        <w:rPr>
          <w:highlight w:val="white"/>
        </w:rPr>
        <w:t xml:space="preserve">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p>
    <w:p>
      <w:pPr>
        <w:pStyle w:val="1191"/>
        <w:ind w:firstLine="0"/>
        <w:widowControl w:val="off"/>
        <w:tabs>
          <w:tab w:val="left" w:pos="1276" w:leader="none"/>
        </w:tabs>
        <w:rPr>
          <w:highlight w:val="white"/>
        </w:rPr>
      </w:pP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размера аванса</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p>
        </w:tc>
      </w:tr>
    </w:tbl>
    <w:p>
      <w:pPr>
        <w:pStyle w:val="1191"/>
        <w:ind w:firstLine="0"/>
        <w:widowControl w:val="off"/>
        <w:tabs>
          <w:tab w:val="left" w:pos="1276" w:leader="none"/>
        </w:tabs>
        <w:rPr>
          <w:highlight w:val="white"/>
        </w:rPr>
      </w:pPr>
      <w:r>
        <w:rPr>
          <w:highlight w:val="white"/>
        </w:rPr>
      </w:r>
      <w:r>
        <w:rPr>
          <w:highlight w:val="white"/>
        </w:rPr>
      </w:r>
    </w:p>
    <w:p>
      <w:pPr>
        <w:pStyle w:val="1161"/>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p>
    <w:p>
      <w:pPr>
        <w:ind w:left="567"/>
        <w:jc w:val="both"/>
        <w:widowControl w:val="off"/>
        <w:tabs>
          <w:tab w:val="left" w:pos="1134" w:leader="none"/>
        </w:tabs>
        <w:rPr>
          <w:highlight w:val="white"/>
        </w:rPr>
      </w:pPr>
      <w:r>
        <w:rPr>
          <w:highlight w:val="white"/>
        </w:rPr>
      </w:r>
      <w:r>
        <w:rPr>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
        <w:rPr>
          <w:rFonts w:ascii="Times New Roman" w:hAnsi="Times New Roman" w:cs="Times New Roman"/>
          <w:i w:val="0"/>
          <w:sz w:val="24"/>
          <w:szCs w:val="24"/>
          <w:highlight w:val="white"/>
        </w:rPr>
      </w:r>
    </w:p>
    <w:p>
      <w:pPr>
        <w:pStyle w:val="1148"/>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w:t>
      </w:r>
      <w:r>
        <w:rPr>
          <w:rFonts w:ascii="Times New Roman" w:hAnsi="Times New Roman" w:cs="Times New Roman"/>
          <w:b w:val="0"/>
          <w:bCs w:val="0"/>
          <w:sz w:val="24"/>
          <w:szCs w:val="24"/>
          <w:highlight w:val="white"/>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r/>
      <w:r>
        <w:rPr>
          <w:rFonts w:ascii="Times New Roman" w:hAnsi="Times New Roman" w:cs="Times New Roman"/>
          <w:b w:val="0"/>
          <w:bCs w:val="0"/>
          <w:sz w:val="24"/>
          <w:szCs w:val="24"/>
          <w:highlight w:val="white"/>
        </w:rPr>
      </w:r>
    </w:p>
    <w:p>
      <w:pPr>
        <w:pStyle w:val="1148"/>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w:t>
      </w:r>
      <w:r>
        <w:rPr>
          <w:rFonts w:ascii="Times New Roman" w:hAnsi="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
        <w:rPr>
          <w:rFonts w:ascii="Times New Roman" w:hAnsi="Times New Roman"/>
          <w:b w:val="0"/>
          <w:sz w:val="24"/>
          <w:szCs w:val="24"/>
          <w:highlight w:val="white"/>
        </w:rPr>
      </w:r>
    </w:p>
    <w:p>
      <w:pPr>
        <w:pStyle w:val="1148"/>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w:t>
      </w:r>
      <w:r>
        <w:rPr>
          <w:rFonts w:ascii="Times New Roman" w:hAnsi="Times New Roman" w:cs="Times New Roman"/>
          <w:b w:val="0"/>
          <w:bCs w:val="0"/>
          <w:sz w:val="24"/>
          <w:szCs w:val="24"/>
          <w:highlight w:val="white"/>
        </w:rPr>
        <w:t xml:space="preserve">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w:t>
      </w:r>
      <w:r>
        <w:rPr>
          <w:rFonts w:ascii="Times New Roman" w:hAnsi="Times New Roman"/>
          <w:b w:val="0"/>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r/>
      <w:r>
        <w:rPr>
          <w:rFonts w:ascii="Times New Roman" w:hAnsi="Times New Roman" w:cs="Times New Roman"/>
          <w:b w:val="0"/>
          <w:bCs w:val="0"/>
          <w:sz w:val="24"/>
          <w:szCs w:val="24"/>
          <w:highlight w:val="white"/>
        </w:rPr>
      </w:r>
    </w:p>
    <w:p>
      <w:pPr>
        <w:pStyle w:val="1148"/>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w:t>
      </w:r>
      <w:r>
        <w:rPr>
          <w:rFonts w:ascii="Times New Roman" w:hAnsi="Times New Roman" w:cs="Times New Roman"/>
          <w:b w:val="0"/>
          <w:bCs w:val="0"/>
          <w:sz w:val="24"/>
          <w:szCs w:val="24"/>
          <w:highlight w:val="white"/>
        </w:rPr>
        <w:t xml:space="preserve">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r/>
      <w:r>
        <w:rPr>
          <w:rFonts w:ascii="Times New Roman" w:hAnsi="Times New Roman" w:cs="Times New Roman"/>
          <w:b w:val="0"/>
          <w:bCs w:val="0"/>
          <w:sz w:val="24"/>
          <w:szCs w:val="24"/>
          <w:highlight w:val="white"/>
        </w:rPr>
      </w:r>
    </w:p>
    <w:p>
      <w:pPr>
        <w:pStyle w:val="961"/>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pStyle w:val="961"/>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p>
    <w:p>
      <w:pPr>
        <w:rPr>
          <w:b/>
          <w:highlight w:val="white"/>
        </w:rPr>
      </w:pPr>
      <w:r>
        <w:rPr>
          <w:b/>
          <w:highlight w:val="white"/>
        </w:rPr>
        <w:t xml:space="preserve">Письмо о подаче оферты</w:t>
      </w:r>
      <w:r>
        <w:rPr>
          <w:b/>
          <w:highlight w:val="white"/>
        </w:rPr>
      </w:r>
    </w:p>
    <w:p>
      <w:pPr>
        <w:jc w:val="both"/>
        <w:widowControl w:val="off"/>
        <w:rPr>
          <w:highlight w:val="white"/>
        </w:rPr>
      </w:pP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p>
          <w:p>
            <w:pPr>
              <w:rPr>
                <w:highlight w:val="white"/>
              </w:rPr>
            </w:pPr>
            <w:r>
              <w:rPr>
                <w:highlight w:val="white"/>
              </w:rPr>
              <w:t xml:space="preserve">«____</w:t>
            </w:r>
            <w:r>
              <w:rPr>
                <w:highlight w:val="white"/>
              </w:rPr>
              <w:t xml:space="preserve">_»_</w:t>
            </w:r>
            <w:r>
              <w:rPr>
                <w:highlight w:val="white"/>
              </w:rPr>
              <w:t xml:space="preserve">_________года №______</w:t>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p>
          <w:p>
            <w:pPr>
              <w:rPr>
                <w:highlight w:val="white"/>
              </w:rPr>
            </w:pPr>
            <w:r>
              <w:rPr>
                <w:highlight w:val="white"/>
              </w:rPr>
              <w:t xml:space="preserve">____________________________________</w:t>
            </w:r>
            <w:r>
              <w:rPr>
                <w:highlight w:val="white"/>
              </w:rPr>
            </w:r>
          </w:p>
        </w:tc>
      </w:tr>
    </w:tbl>
    <w:p>
      <w:pPr>
        <w:jc w:val="both"/>
        <w:widowControl w:val="off"/>
        <w:rPr>
          <w:highlight w:val="white"/>
        </w:rPr>
      </w:pPr>
      <w:r>
        <w:rPr>
          <w:highlight w:val="white"/>
        </w:rPr>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p>
    <w:p>
      <w:pPr>
        <w:jc w:val="both"/>
        <w:widowControl w:val="off"/>
        <w:rPr>
          <w:b/>
          <w:i/>
          <w:highlight w:val="white"/>
        </w:rPr>
      </w:pP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1"/>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r>
          </w:p>
          <w:p>
            <w:pPr>
              <w:pStyle w:val="1161"/>
              <w:ind w:left="709"/>
              <w:rPr>
                <w:highlight w:val="white"/>
              </w:rPr>
            </w:pP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p>
          <w:p>
            <w:pPr>
              <w:ind w:left="709"/>
              <w:rPr>
                <w:highlight w:val="white"/>
              </w:rPr>
            </w:pP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p>
        </w:tc>
      </w:tr>
    </w:tbl>
    <w:p>
      <w:pPr>
        <w:ind w:left="709"/>
        <w:jc w:val="both"/>
        <w:widowControl w:val="off"/>
        <w:rPr>
          <w:highlight w:val="white"/>
        </w:rPr>
      </w:pPr>
      <w:r>
        <w:rPr>
          <w:highlight w:val="white"/>
        </w:rPr>
        <w:t xml:space="preserve">  </w:t>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p>
    <w:p>
      <w:pPr>
        <w:ind w:left="709"/>
        <w:rPr>
          <w:highlight w:val="white"/>
        </w:rPr>
      </w:pPr>
      <w:r>
        <w:rPr>
          <w:highlight w:val="white"/>
        </w:rPr>
      </w:r>
      <w:r>
        <w:rPr>
          <w:highlight w:val="white"/>
        </w:rPr>
      </w:r>
    </w:p>
    <w:p>
      <w:pPr>
        <w:pStyle w:val="1161"/>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p>
    <w:p>
      <w:pPr>
        <w:ind w:left="709"/>
        <w:rPr>
          <w:highlight w:val="white"/>
        </w:rPr>
      </w:pP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p>
    <w:p>
      <w:pPr>
        <w:pStyle w:val="1161"/>
        <w:contextualSpacing/>
        <w:ind w:left="1120"/>
        <w:jc w:val="both"/>
        <w:widowControl w:val="off"/>
        <w:rPr>
          <w:highlight w:val="white"/>
        </w:rPr>
      </w:pPr>
      <w:r>
        <w:rPr>
          <w:highlight w:val="white"/>
        </w:rPr>
      </w:r>
      <w:r>
        <w:rPr>
          <w:highlight w:val="white"/>
        </w:rPr>
      </w:r>
    </w:p>
    <w:p>
      <w:pPr>
        <w:pStyle w:val="1161"/>
        <w:contextualSpacing/>
        <w:ind w:left="1778"/>
        <w:jc w:val="both"/>
        <w:widowControl w:val="off"/>
        <w:rPr>
          <w:highlight w:val="white"/>
        </w:rPr>
      </w:pPr>
      <w:r>
        <w:rPr>
          <w:highlight w:val="white"/>
        </w:rPr>
      </w:r>
      <w:r>
        <w:rPr>
          <w:highlight w:val="white"/>
        </w:rPr>
      </w:r>
    </w:p>
    <w:p>
      <w:pPr>
        <w:pStyle w:val="1161"/>
        <w:numPr>
          <w:ilvl w:val="0"/>
          <w:numId w:val="17"/>
        </w:numPr>
        <w:contextualSpacing/>
        <w:jc w:val="both"/>
        <w:widowControl w:val="off"/>
        <w:rPr>
          <w:highlight w:val="white"/>
        </w:rPr>
      </w:pPr>
      <w:r>
        <w:rPr>
          <w:b/>
          <w:highlight w:val="white"/>
        </w:rPr>
        <w:t xml:space="preserve">Техническое предложение на выполнение </w:t>
      </w:r>
      <w:r>
        <w:rPr>
          <w:b/>
          <w:highlight w:val="white"/>
        </w:rPr>
        <w:t xml:space="preserve">работ:</w:t>
      </w:r>
      <w:r>
        <w:rPr>
          <w:highlight w:val="white"/>
        </w:rPr>
        <w:t xml:space="preserve">_</w:t>
      </w:r>
      <w:r>
        <w:rPr>
          <w:highlight w:val="white"/>
        </w:rPr>
        <w:t xml:space="preserve">________________________________________________*</w:t>
      </w:r>
      <w:r>
        <w:rPr>
          <w:highlight w:val="white"/>
        </w:rPr>
      </w:r>
    </w:p>
    <w:p>
      <w:pPr>
        <w:pStyle w:val="1161"/>
        <w:ind w:left="1120"/>
        <w:jc w:val="both"/>
        <w:widowControl w:val="off"/>
        <w:rPr>
          <w:highlight w:val="white"/>
        </w:rPr>
      </w:pPr>
      <w:r>
        <w:rPr>
          <w:highlight w:val="white"/>
        </w:rPr>
        <w:t xml:space="preserve">(Варианты заполнения: </w:t>
      </w:r>
      <w:r>
        <w:rPr>
          <w:highlight w:val="white"/>
        </w:rPr>
      </w:r>
    </w:p>
    <w:p>
      <w:pPr>
        <w:pStyle w:val="1161"/>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p>
    <w:p>
      <w:pPr>
        <w:pStyle w:val="1161"/>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r>
    </w:p>
    <w:p>
      <w:pPr>
        <w:pStyle w:val="1161"/>
        <w:ind w:left="0" w:firstLine="567"/>
        <w:jc w:val="both"/>
        <w:widowControl w:val="off"/>
        <w:rPr>
          <w:bCs/>
          <w:color w:val="000000"/>
          <w:highlight w:val="white"/>
        </w:rPr>
      </w:pP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r>
        <w:rPr>
          <w:i/>
          <w:highlight w:val="white"/>
        </w:rPr>
        <w:t xml:space="preserve">Участника</w:t>
      </w:r>
      <w:r>
        <w:rPr>
          <w:highlight w:val="white"/>
        </w:rPr>
        <w:t xml:space="preserve">)*</w:t>
      </w:r>
      <w:r>
        <w:rPr>
          <w:highlight w:val="white"/>
        </w:rPr>
        <w:t xml:space="preserve"> на дату подачи 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w:t>
      </w:r>
      <w:r>
        <w:rPr>
          <w:highlight w:val="white"/>
        </w:rPr>
        <w:t xml:space="preserve">_»_</w:t>
      </w:r>
      <w:r>
        <w:rPr>
          <w:highlight w:val="white"/>
        </w:rPr>
        <w:t xml:space="preserve">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p>
    <w:p>
      <w:pPr>
        <w:jc w:val="both"/>
        <w:widowControl w:val="off"/>
        <w:rPr>
          <w:highlight w:val="white"/>
        </w:rPr>
      </w:pP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p>
    <w:p>
      <w:pPr>
        <w:jc w:val="both"/>
        <w:rPr>
          <w:bCs/>
          <w:highlight w:val="white"/>
          <w:u w:val="single"/>
        </w:rPr>
      </w:pPr>
      <w:r>
        <w:rPr>
          <w:bCs/>
          <w:highlight w:val="white"/>
          <w:u w:val="single"/>
        </w:rPr>
        <w:t xml:space="preserve">- сроки поставки, выполнения работ / услуг соответствуют требованиям Организатора;</w:t>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p>
    <w:p>
      <w:pPr>
        <w:jc w:val="both"/>
        <w:rPr>
          <w:highlight w:val="white"/>
        </w:rPr>
      </w:pPr>
      <w:r>
        <w:rPr>
          <w:highlight w:val="white"/>
        </w:rPr>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p>
    <w:p>
      <w:pPr>
        <w:pStyle w:val="1214"/>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p>
    <w:p>
      <w:pPr>
        <w:jc w:val="both"/>
        <w:rPr>
          <w:highlight w:val="white"/>
        </w:rPr>
      </w:pP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w:t>
      </w:r>
      <w:r>
        <w:rPr>
          <w:rFonts w:eastAsia="Arial Unicode MS"/>
          <w:highlight w:val="white"/>
        </w:rPr>
        <w:t xml:space="preserve">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p>
    <w:p>
      <w:pPr>
        <w:jc w:val="both"/>
        <w:rPr>
          <w:highlight w:val="white"/>
        </w:rPr>
      </w:pP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w:t>
      </w:r>
      <w:r>
        <w:rPr>
          <w:highlight w:val="white"/>
        </w:rPr>
        <w:t xml:space="preserve">Россети</w:t>
      </w:r>
      <w:r>
        <w:rPr>
          <w:highlight w:val="white"/>
        </w:rPr>
        <w:t xml:space="preserve"> Московский регион».</w:t>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p>
    <w:p>
      <w:pPr>
        <w:jc w:val="both"/>
        <w:rPr>
          <w:highlight w:val="white"/>
        </w:rPr>
      </w:pPr>
      <w:r>
        <w:rPr>
          <w:highlight w:val="white"/>
        </w:rPr>
        <w:t xml:space="preserve">- является полностью правоспособным;</w:t>
      </w:r>
      <w:r>
        <w:rPr>
          <w:highlight w:val="white"/>
        </w:rPr>
      </w:r>
    </w:p>
    <w:p>
      <w:pPr>
        <w:jc w:val="both"/>
        <w:rPr>
          <w:highlight w:val="white"/>
        </w:rPr>
      </w:pPr>
      <w:r>
        <w:rPr>
          <w:highlight w:val="white"/>
        </w:rPr>
        <w:t xml:space="preserve">- является полностью дееспособным;</w:t>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p>
    <w:p>
      <w:pPr>
        <w:jc w:val="both"/>
        <w:rPr>
          <w:highlight w:val="white"/>
        </w:rPr>
      </w:pPr>
      <w:r>
        <w:rPr>
          <w:highlight w:val="white"/>
        </w:rPr>
        <w:t xml:space="preserve">- не находится в пр</w:t>
      </w:r>
      <w:r>
        <w:rPr>
          <w:highlight w:val="white"/>
        </w:rPr>
        <w:t xml:space="preserve">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p>
    <w:p>
      <w:pPr>
        <w:jc w:val="both"/>
        <w:widowControl w:val="off"/>
        <w:rPr>
          <w:highlight w:val="white"/>
        </w:rPr>
      </w:pPr>
      <w:r>
        <w:rPr>
          <w:highlight w:val="white"/>
        </w:rPr>
      </w:r>
      <w:r>
        <w:rPr>
          <w:highlight w:val="white"/>
        </w:rPr>
      </w:r>
    </w:p>
    <w:p>
      <w:pPr>
        <w:jc w:val="both"/>
        <w:widowControl w:val="off"/>
        <w:rPr>
          <w:b/>
          <w:i/>
          <w:highlight w:val="white"/>
        </w:rPr>
      </w:pP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p>
    <w:p>
      <w:pPr>
        <w:ind w:firstLine="567"/>
        <w:jc w:val="both"/>
        <w:widowControl w:val="off"/>
        <w:tabs>
          <w:tab w:val="left" w:pos="851" w:leader="none"/>
        </w:tabs>
        <w:rPr>
          <w:highlight w:val="white"/>
        </w:rPr>
      </w:pPr>
      <w:r>
        <w:rPr>
          <w:highlight w:val="white"/>
        </w:rPr>
        <w:t xml:space="preserve">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С уважением,</w:t>
      </w:r>
      <w:r>
        <w:rPr>
          <w:highlight w:val="white"/>
        </w:rPr>
      </w:r>
    </w:p>
    <w:p>
      <w:pPr>
        <w:jc w:val="both"/>
        <w:widowControl w:val="off"/>
        <w:rPr>
          <w:highlight w:val="white"/>
        </w:rPr>
      </w:pPr>
      <w:r>
        <w:rPr>
          <w:highlight w:val="white"/>
        </w:rPr>
        <w:t xml:space="preserve">___________________________                                      ________________________</w:t>
      </w:r>
      <w:r>
        <w:rPr>
          <w:highlight w:val="white"/>
        </w:rPr>
      </w:r>
    </w:p>
    <w:p>
      <w:pPr>
        <w:jc w:val="both"/>
        <w:widowControl w:val="off"/>
        <w:rPr>
          <w:highlight w:val="white"/>
        </w:rPr>
      </w:pPr>
      <w:r>
        <w:rPr>
          <w:b/>
          <w:i/>
          <w:highlight w:val="white"/>
        </w:rPr>
        <w:t xml:space="preserve">(должность ответственного </w:t>
      </w:r>
      <w:r>
        <w:rPr>
          <w:b/>
          <w:i/>
          <w:highlight w:val="white"/>
        </w:rPr>
        <w:t xml:space="preserve">лица)*</w:t>
      </w:r>
      <w:r>
        <w:rPr>
          <w:b/>
          <w:i/>
          <w:highlight w:val="white"/>
        </w:rPr>
        <w:t xml:space="preserve">                            (подпись, расшифровка)*</w:t>
      </w:r>
      <w:r>
        <w:rPr>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pStyle w:val="1192"/>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p>
    <w:p>
      <w:pPr>
        <w:jc w:val="both"/>
        <w:widowControl w:val="off"/>
        <w:rPr>
          <w:b/>
          <w:highlight w:val="white"/>
        </w:rPr>
      </w:pPr>
      <w:r>
        <w:rPr>
          <w:b/>
          <w:highlight w:val="white"/>
        </w:rPr>
        <w:t xml:space="preserve">Форма 2</w:t>
      </w:r>
      <w:r>
        <w:rPr>
          <w:b/>
          <w:highlight w:val="white"/>
        </w:rPr>
      </w:r>
    </w:p>
    <w:p>
      <w:pPr>
        <w:ind w:firstLine="567"/>
        <w:jc w:val="both"/>
        <w:widowControl w:val="off"/>
        <w:rPr>
          <w:bCs/>
          <w:highlight w:val="white"/>
        </w:rPr>
      </w:pPr>
      <w:r>
        <w:rPr>
          <w:bCs/>
          <w:highlight w:val="white"/>
        </w:rPr>
      </w:r>
      <w:r>
        <w:rPr>
          <w:bCs/>
          <w:highlight w:val="white"/>
        </w:rPr>
      </w:r>
    </w:p>
    <w:p>
      <w:pPr>
        <w:ind w:firstLine="567"/>
        <w:jc w:val="both"/>
        <w:widowControl w:val="off"/>
        <w:rPr>
          <w:bCs/>
          <w:highlight w:val="white"/>
        </w:rPr>
      </w:pPr>
      <w:r>
        <w:rPr>
          <w:bCs/>
          <w:highlight w:val="white"/>
        </w:rPr>
        <w:t xml:space="preserve">от «___</w:t>
      </w:r>
      <w:r>
        <w:rPr>
          <w:bCs/>
          <w:highlight w:val="white"/>
        </w:rPr>
        <w:t xml:space="preserve">_»_</w:t>
      </w:r>
      <w:r>
        <w:rPr>
          <w:bCs/>
          <w:highlight w:val="white"/>
        </w:rPr>
        <w:t xml:space="preserve">____________ г. №__________</w:t>
      </w:r>
      <w:r>
        <w:rPr>
          <w:bCs/>
          <w:highlight w:val="white"/>
        </w:rPr>
      </w:r>
    </w:p>
    <w:p>
      <w:pPr>
        <w:jc w:val="center"/>
        <w:rPr>
          <w:b/>
          <w:highlight w:val="white"/>
        </w:rPr>
      </w:pP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p>
    <w:p>
      <w:pPr>
        <w:jc w:val="center"/>
        <w:widowControl w:val="off"/>
        <w:tabs>
          <w:tab w:val="num" w:pos="1134" w:leader="none"/>
        </w:tabs>
        <w:rPr>
          <w:b/>
          <w:highlight w:val="white"/>
        </w:rPr>
        <w:outlineLvl w:val="1"/>
      </w:pP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балансу последнего завершенного периода)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w:t>
            </w:r>
            <w:r>
              <w:rPr>
                <w:highlight w:val="white"/>
              </w:rPr>
              <w:t xml:space="preserve">представителя)*</w:t>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w:t>
            </w:r>
            <w:r>
              <w:rPr>
                <w:highlight w:val="white"/>
              </w:rPr>
              <w:t xml:space="preserve">должность)*</w:t>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p>
    <w:p>
      <w:pPr>
        <w:pStyle w:val="1192"/>
        <w:ind w:left="0" w:firstLine="0"/>
        <w:jc w:val="left"/>
        <w:spacing w:line="240" w:lineRule="auto"/>
        <w:tabs>
          <w:tab w:val="left" w:pos="142" w:leader="none"/>
        </w:tabs>
        <w:rPr>
          <w:sz w:val="20"/>
          <w:highlight w:val="white"/>
        </w:rPr>
      </w:pPr>
      <w:r>
        <w:rPr>
          <w:sz w:val="20"/>
          <w:highlight w:val="white"/>
        </w:rPr>
      </w:r>
      <w:r>
        <w:rPr>
          <w:sz w:val="20"/>
          <w:highlight w:val="white"/>
        </w:rPr>
      </w:r>
    </w:p>
    <w:p>
      <w:pPr>
        <w:pStyle w:val="1192"/>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rPr>
        <w:rStyle w:val="1164"/>
      </w:rPr>
      <w:framePr w:wrap="around" w:vAnchor="text" w:hAnchor="margin" w:xAlign="right" w:y="1"/>
    </w:pPr>
    <w:r>
      <w:rPr>
        <w:rStyle w:val="1164"/>
      </w:rPr>
      <w:fldChar w:fldCharType="begin"/>
    </w:r>
    <w:r>
      <w:rPr>
        <w:rStyle w:val="1164"/>
      </w:rPr>
      <w:instrText xml:space="preserve">PAGE  </w:instrText>
    </w:r>
    <w:r>
      <w:rPr>
        <w:rStyle w:val="1164"/>
      </w:rPr>
      <w:fldChar w:fldCharType="separate"/>
    </w:r>
    <w:r>
      <w:rPr>
        <w:rStyle w:val="1164"/>
      </w:rPr>
      <w:t xml:space="preserve">1</w:t>
    </w:r>
    <w:r>
      <w:rPr>
        <w:rStyle w:val="1164"/>
      </w:rPr>
      <w:fldChar w:fldCharType="end"/>
    </w:r>
    <w:r>
      <w:rPr>
        <w:rStyle w:val="1164"/>
      </w:rPr>
    </w:r>
  </w:p>
  <w:p>
    <w:pPr>
      <w:pStyle w:val="1000"/>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3"/>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2"/>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72"/>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72"/>
                            <w:ind w:right="17"/>
                            <w:jc w:val="right"/>
                            <w:keepNext/>
                            <w:spacing w:after="0"/>
                            <w:tabs>
                              <w:tab w:val="left" w:pos="5670" w:leader="none"/>
                            </w:tabs>
                          </w:pPr>
                          <w:r>
                            <w:t xml:space="preserve">Московский регион» – Западные электрические сети</w:t>
                          </w:r>
                          <w:r/>
                        </w:p>
                        <w:p>
                          <w:pPr>
                            <w:pStyle w:val="1172"/>
                            <w:ind w:right="17"/>
                            <w:jc w:val="right"/>
                            <w:keepNext/>
                            <w:spacing w:after="0"/>
                            <w:tabs>
                              <w:tab w:val="left" w:pos="5670" w:leader="none"/>
                            </w:tabs>
                          </w:pPr>
                          <w:r>
                            <w:rPr>
                              <w:highlight w:val="white"/>
                            </w:rPr>
                            <w:t xml:space="preserve">Протокол № ЗЭС/571 от 09.07.2026</w:t>
                          </w:r>
                          <w:r/>
                        </w:p>
                        <w:p>
                          <w:pPr>
                            <w:pStyle w:val="1172"/>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72"/>
                            <w:ind w:right="17"/>
                            <w:jc w:val="right"/>
                            <w:keepNext/>
                            <w:spacing w:after="0"/>
                            <w:tabs>
                              <w:tab w:val="left" w:pos="5670" w:leader="none"/>
                            </w:tabs>
                            <w:rPr>
                              <w:b/>
                              <w:bCs/>
                            </w:rPr>
                          </w:pP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2"/>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72"/>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72"/>
                      <w:ind w:right="17"/>
                      <w:jc w:val="right"/>
                      <w:keepNext/>
                      <w:spacing w:after="0"/>
                      <w:tabs>
                        <w:tab w:val="left" w:pos="5670" w:leader="none"/>
                      </w:tabs>
                    </w:pPr>
                    <w:r>
                      <w:t xml:space="preserve">Московский регион» – Западные электрические сети</w:t>
                    </w:r>
                    <w:r/>
                  </w:p>
                  <w:p>
                    <w:pPr>
                      <w:pStyle w:val="1172"/>
                      <w:ind w:right="17"/>
                      <w:jc w:val="right"/>
                      <w:keepNext/>
                      <w:spacing w:after="0"/>
                      <w:tabs>
                        <w:tab w:val="left" w:pos="5670" w:leader="none"/>
                      </w:tabs>
                    </w:pPr>
                    <w:r>
                      <w:rPr>
                        <w:highlight w:val="white"/>
                      </w:rPr>
                      <w:t xml:space="preserve">Протокол № ЗЭС/571 от 09.07.2026</w:t>
                    </w:r>
                    <w:r/>
                  </w:p>
                  <w:p>
                    <w:pPr>
                      <w:pStyle w:val="1172"/>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72"/>
                      <w:ind w:right="17"/>
                      <w:jc w:val="right"/>
                      <w:keepNext/>
                      <w:spacing w:after="0"/>
                      <w:tabs>
                        <w:tab w:val="left" w:pos="5670" w:leader="none"/>
                      </w:tabs>
                      <w:rPr>
                        <w:b/>
                        <w:bCs/>
                      </w:rPr>
                    </w:pP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jc w:val="center"/>
      <w:rPr>
        <w:rStyle w:val="1164"/>
      </w:rPr>
      <w:framePr w:wrap="around" w:vAnchor="text" w:hAnchor="margin" w:xAlign="center" w:y="1"/>
    </w:pPr>
    <w:r>
      <w:rPr>
        <w:rStyle w:val="1164"/>
      </w:rPr>
      <w:fldChar w:fldCharType="begin"/>
    </w:r>
    <w:r>
      <w:rPr>
        <w:rStyle w:val="1164"/>
      </w:rPr>
      <w:instrText xml:space="preserve">PAGE  </w:instrText>
    </w:r>
    <w:r>
      <w:rPr>
        <w:rStyle w:val="1164"/>
      </w:rPr>
      <w:fldChar w:fldCharType="separate"/>
    </w:r>
    <w:r>
      <w:rPr>
        <w:rStyle w:val="1164"/>
      </w:rPr>
      <w:t xml:space="preserve">21</w:t>
    </w:r>
    <w:r>
      <w:rPr>
        <w:rStyle w:val="1164"/>
      </w:rPr>
      <w:fldChar w:fldCharType="end"/>
    </w:r>
    <w:r>
      <w:rPr>
        <w:rStyle w:val="1164"/>
      </w:rPr>
    </w:r>
  </w:p>
  <w:p>
    <w:pPr>
      <w:pStyle w:val="1162"/>
      <w:rPr>
        <w:rStyle w:val="1164"/>
      </w:rPr>
      <w:framePr w:wrap="around" w:vAnchor="text" w:hAnchor="margin" w:xAlign="center" w:y="1"/>
    </w:pPr>
    <w:r/>
    <w:r>
      <w:rPr>
        <w:rStyle w:val="1164"/>
      </w:rPr>
    </w:r>
  </w:p>
  <w:p>
    <w:pPr>
      <w:pStyle w:val="1162"/>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rPr>
        <w:rStyle w:val="1164"/>
      </w:rPr>
      <w:framePr w:wrap="around" w:vAnchor="text" w:hAnchor="margin" w:xAlign="center" w:y="1"/>
    </w:pPr>
    <w:r>
      <w:rPr>
        <w:rStyle w:val="1164"/>
      </w:rPr>
      <w:fldChar w:fldCharType="begin"/>
    </w:r>
    <w:r>
      <w:rPr>
        <w:rStyle w:val="1164"/>
      </w:rPr>
      <w:instrText xml:space="preserve">PAGE  </w:instrText>
    </w:r>
    <w:r>
      <w:rPr>
        <w:rStyle w:val="1164"/>
      </w:rPr>
      <w:fldChar w:fldCharType="separate"/>
    </w:r>
    <w:r>
      <w:rPr>
        <w:rStyle w:val="1164"/>
      </w:rPr>
      <w:t xml:space="preserve">1</w:t>
    </w:r>
    <w:r>
      <w:rPr>
        <w:rStyle w:val="1164"/>
      </w:rPr>
      <w:fldChar w:fldCharType="end"/>
    </w:r>
    <w:r>
      <w:rPr>
        <w:rStyle w:val="1164"/>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1">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5">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6">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8">
    <w:multiLevelType w:val="hybridMultilevel"/>
    <w:lvl w:ilvl="0">
      <w:start w:val="1"/>
      <w:numFmt w:val="decimal"/>
      <w:pStyle w:val="1204"/>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06"/>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05"/>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07"/>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9">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1">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12">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13">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4">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15">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16">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18">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9">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0">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1">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24">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26">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08"/>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8">
    <w:multiLevelType w:val="hybridMultilevel"/>
    <w:lvl w:ilvl="0">
      <w:start w:val="1"/>
      <w:numFmt w:val="bullet"/>
      <w:pStyle w:val="1194"/>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9">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87"/>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30">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1">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32">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4">
    <w:multiLevelType w:val="hybridMultilevel"/>
    <w:lvl w:ilvl="0">
      <w:start w:val="1"/>
      <w:numFmt w:val="decimal"/>
      <w:pStyle w:val="1195"/>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35">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8">
    <w:multiLevelType w:val="hybridMultilevel"/>
    <w:lvl w:ilvl="0">
      <w:start w:val="1"/>
      <w:numFmt w:val="decimal"/>
      <w:pStyle w:val="1203"/>
      <w:isLgl w:val="false"/>
      <w:suff w:val="tab"/>
      <w:lvlText w:val="%1."/>
      <w:lvlJc w:val="left"/>
      <w:pPr>
        <w:ind w:left="420" w:hanging="420"/>
        <w:tabs>
          <w:tab w:val="num" w:pos="420" w:leader="none"/>
        </w:tabs>
      </w:pPr>
    </w:lvl>
    <w:lvl w:ilvl="1">
      <w:start w:val="1"/>
      <w:numFmt w:val="decimal"/>
      <w:pStyle w:val="1198"/>
      <w:isLgl w:val="false"/>
      <w:suff w:val="tab"/>
      <w:lvlText w:val="%1.%2."/>
      <w:lvlJc w:val="left"/>
      <w:pPr>
        <w:ind w:left="1271" w:hanging="420"/>
        <w:tabs>
          <w:tab w:val="num" w:pos="1271" w:leader="none"/>
        </w:tabs>
      </w:pPr>
    </w:lvl>
    <w:lvl w:ilvl="2">
      <w:start w:val="1"/>
      <w:numFmt w:val="decimal"/>
      <w:pStyle w:val="1199"/>
      <w:isLgl w:val="false"/>
      <w:suff w:val="tab"/>
      <w:lvlText w:val="%1.%2.%3."/>
      <w:lvlJc w:val="left"/>
      <w:pPr>
        <w:ind w:left="720" w:hanging="720"/>
        <w:tabs>
          <w:tab w:val="num" w:pos="720" w:leader="none"/>
        </w:tabs>
      </w:pPr>
    </w:lvl>
    <w:lvl w:ilvl="3">
      <w:start w:val="1"/>
      <w:numFmt w:val="decimal"/>
      <w:pStyle w:val="1200"/>
      <w:isLgl w:val="false"/>
      <w:suff w:val="tab"/>
      <w:lvlText w:val="%1.%2.%3.%4."/>
      <w:lvlJc w:val="left"/>
      <w:pPr>
        <w:ind w:left="720" w:hanging="720"/>
        <w:tabs>
          <w:tab w:val="num" w:pos="720" w:leader="none"/>
        </w:tabs>
      </w:pPr>
    </w:lvl>
    <w:lvl w:ilvl="4">
      <w:start w:val="1"/>
      <w:numFmt w:val="decimal"/>
      <w:pStyle w:val="1201"/>
      <w:isLgl w:val="false"/>
      <w:suff w:val="tab"/>
      <w:lvlText w:val="%1.%2.%3.%4.%5."/>
      <w:lvlJc w:val="left"/>
      <w:pPr>
        <w:ind w:left="1080" w:hanging="1080"/>
        <w:tabs>
          <w:tab w:val="num" w:pos="1080" w:leader="none"/>
        </w:tabs>
      </w:pPr>
    </w:lvl>
    <w:lvl w:ilvl="5">
      <w:start w:val="1"/>
      <w:numFmt w:val="decimal"/>
      <w:pStyle w:val="1202"/>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39">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2">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34"/>
  </w:num>
  <w:num w:numId="2">
    <w:abstractNumId w:val="1"/>
  </w:num>
  <w:num w:numId="3">
    <w:abstractNumId w:val="29"/>
  </w:num>
  <w:num w:numId="4">
    <w:abstractNumId w:val="26"/>
  </w:num>
  <w:num w:numId="5">
    <w:abstractNumId w:val="22"/>
  </w:num>
  <w:num w:numId="6">
    <w:abstractNumId w:val="16"/>
  </w:num>
  <w:num w:numId="7">
    <w:abstractNumId w:val="28"/>
  </w:num>
  <w:num w:numId="8">
    <w:abstractNumId w:val="23"/>
  </w:num>
  <w:num w:numId="9">
    <w:abstractNumId w:val="37"/>
  </w:num>
  <w:num w:numId="10">
    <w:abstractNumId w:val="19"/>
  </w:num>
  <w:num w:numId="11">
    <w:abstractNumId w:val="20"/>
  </w:num>
  <w:num w:numId="12">
    <w:abstractNumId w:val="42"/>
  </w:num>
  <w:num w:numId="13">
    <w:abstractNumId w:val="27"/>
  </w:num>
  <w:num w:numId="14">
    <w:abstractNumId w:val="40"/>
  </w:num>
  <w:num w:numId="15">
    <w:abstractNumId w:val="41"/>
  </w:num>
  <w:num w:numId="16">
    <w:abstractNumId w:val="13"/>
  </w:num>
  <w:num w:numId="17">
    <w:abstractNumId w:val="0"/>
  </w:num>
  <w:num w:numId="18">
    <w:abstractNumId w:val="6"/>
  </w:num>
  <w:num w:numId="19">
    <w:abstractNumId w:val="4"/>
  </w:num>
  <w:num w:numId="20">
    <w:abstractNumId w:val="31"/>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4"/>
  </w:num>
  <w:num w:numId="24">
    <w:abstractNumId w:val="8"/>
  </w:num>
  <w:num w:numId="25">
    <w:abstractNumId w:val="5"/>
  </w:num>
  <w:num w:numId="26">
    <w:abstractNumId w:val="25"/>
  </w:num>
  <w:num w:numId="27">
    <w:abstractNumId w:val="33"/>
  </w:num>
  <w:num w:numId="28">
    <w:abstractNumId w:val="2"/>
  </w:num>
  <w:num w:numId="29">
    <w:abstractNumId w:val="35"/>
  </w:num>
  <w:num w:numId="30">
    <w:abstractNumId w:val="18"/>
  </w:num>
  <w:num w:numId="31">
    <w:abstractNumId w:val="39"/>
  </w:num>
  <w:num w:numId="32">
    <w:abstractNumId w:val="36"/>
  </w:num>
  <w:num w:numId="33">
    <w:abstractNumId w:val="21"/>
  </w:num>
  <w:num w:numId="34">
    <w:abstractNumId w:val="24"/>
  </w:num>
  <w:num w:numId="35">
    <w:abstractNumId w:val="10"/>
  </w:num>
  <w:num w:numId="36">
    <w:abstractNumId w:val="32"/>
  </w:num>
  <w:num w:numId="37">
    <w:abstractNumId w:val="12"/>
  </w:num>
  <w:num w:numId="38">
    <w:abstractNumId w:val="17"/>
  </w:num>
  <w:num w:numId="39">
    <w:abstractNumId w:val="15"/>
  </w:num>
  <w:num w:numId="40">
    <w:abstractNumId w:val="30"/>
  </w:num>
  <w:num w:numId="41">
    <w:abstractNumId w:val="9"/>
  </w:num>
  <w:num w:numId="42">
    <w:abstractNumId w:val="11"/>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59" w:default="1">
    <w:name w:val="Normal"/>
    <w:qFormat/>
    <w:rPr>
      <w:sz w:val="24"/>
      <w:szCs w:val="24"/>
      <w:lang w:eastAsia="ru-RU"/>
    </w:rPr>
  </w:style>
  <w:style w:type="paragraph" w:styleId="960">
    <w:name w:val="Heading 1"/>
    <w:basedOn w:val="959"/>
    <w:next w:val="959"/>
    <w:link w:val="1149"/>
    <w:qFormat/>
    <w:pPr>
      <w:keepNext/>
      <w:spacing w:before="240" w:after="60"/>
      <w:outlineLvl w:val="0"/>
    </w:pPr>
    <w:rPr>
      <w:rFonts w:ascii="Arial" w:hAnsi="Arial" w:cs="Arial"/>
      <w:b/>
      <w:bCs/>
      <w:sz w:val="32"/>
      <w:szCs w:val="32"/>
    </w:rPr>
  </w:style>
  <w:style w:type="paragraph" w:styleId="961">
    <w:name w:val="Heading 2"/>
    <w:basedOn w:val="959"/>
    <w:next w:val="959"/>
    <w:link w:val="1150"/>
    <w:qFormat/>
    <w:pPr>
      <w:keepNext/>
      <w:spacing w:before="240" w:after="60"/>
      <w:outlineLvl w:val="1"/>
    </w:pPr>
    <w:rPr>
      <w:rFonts w:ascii="Cambria" w:hAnsi="Cambria" w:cs="Cambria"/>
      <w:b/>
      <w:bCs/>
      <w:i/>
      <w:iCs/>
      <w:sz w:val="28"/>
      <w:szCs w:val="28"/>
    </w:rPr>
  </w:style>
  <w:style w:type="paragraph" w:styleId="962">
    <w:name w:val="Heading 3"/>
    <w:basedOn w:val="959"/>
    <w:next w:val="959"/>
    <w:link w:val="981"/>
    <w:uiPriority w:val="9"/>
    <w:unhideWhenUsed/>
    <w:qFormat/>
    <w:pPr>
      <w:keepLines/>
      <w:keepNext/>
      <w:spacing w:before="320" w:after="200"/>
      <w:outlineLvl w:val="2"/>
    </w:pPr>
    <w:rPr>
      <w:rFonts w:ascii="Arial" w:hAnsi="Arial" w:eastAsia="Arial" w:cs="Arial"/>
      <w:sz w:val="30"/>
      <w:szCs w:val="30"/>
    </w:rPr>
  </w:style>
  <w:style w:type="paragraph" w:styleId="963">
    <w:name w:val="Heading 4"/>
    <w:basedOn w:val="959"/>
    <w:next w:val="959"/>
    <w:link w:val="1153"/>
    <w:qFormat/>
    <w:pPr>
      <w:keepNext/>
      <w:spacing w:before="240" w:after="60"/>
      <w:widowControl w:val="off"/>
      <w:outlineLvl w:val="3"/>
    </w:pPr>
    <w:rPr>
      <w:rFonts w:ascii="Calibri" w:hAnsi="Calibri" w:cs="Calibri"/>
      <w:b/>
      <w:bCs/>
      <w:sz w:val="28"/>
      <w:szCs w:val="28"/>
    </w:rPr>
  </w:style>
  <w:style w:type="paragraph" w:styleId="964">
    <w:name w:val="Heading 5"/>
    <w:basedOn w:val="959"/>
    <w:next w:val="959"/>
    <w:link w:val="1154"/>
    <w:qFormat/>
    <w:pPr>
      <w:spacing w:before="240" w:after="60"/>
      <w:widowControl w:val="off"/>
      <w:outlineLvl w:val="4"/>
    </w:pPr>
    <w:rPr>
      <w:rFonts w:ascii="Calibri" w:hAnsi="Calibri" w:cs="Calibri"/>
      <w:b/>
      <w:bCs/>
      <w:i/>
      <w:iCs/>
      <w:sz w:val="26"/>
      <w:szCs w:val="26"/>
    </w:rPr>
  </w:style>
  <w:style w:type="paragraph" w:styleId="965">
    <w:name w:val="Heading 6"/>
    <w:basedOn w:val="959"/>
    <w:next w:val="959"/>
    <w:link w:val="1155"/>
    <w:qFormat/>
    <w:pPr>
      <w:ind w:left="1152" w:hanging="1152"/>
      <w:spacing w:before="240" w:after="60"/>
      <w:tabs>
        <w:tab w:val="num" w:pos="1152" w:leader="none"/>
      </w:tabs>
      <w:outlineLvl w:val="5"/>
    </w:pPr>
    <w:rPr>
      <w:b/>
      <w:bCs/>
      <w:sz w:val="22"/>
      <w:szCs w:val="22"/>
    </w:rPr>
  </w:style>
  <w:style w:type="paragraph" w:styleId="966">
    <w:name w:val="Heading 7"/>
    <w:basedOn w:val="959"/>
    <w:next w:val="959"/>
    <w:link w:val="1156"/>
    <w:qFormat/>
    <w:pPr>
      <w:ind w:left="1296" w:hanging="1296"/>
      <w:spacing w:before="240" w:after="60"/>
      <w:tabs>
        <w:tab w:val="num" w:pos="1296" w:leader="none"/>
      </w:tabs>
      <w:outlineLvl w:val="6"/>
    </w:pPr>
  </w:style>
  <w:style w:type="paragraph" w:styleId="967">
    <w:name w:val="Heading 8"/>
    <w:basedOn w:val="959"/>
    <w:next w:val="959"/>
    <w:link w:val="1157"/>
    <w:qFormat/>
    <w:pPr>
      <w:spacing w:before="240" w:after="60"/>
      <w:widowControl w:val="off"/>
      <w:outlineLvl w:val="7"/>
    </w:pPr>
    <w:rPr>
      <w:rFonts w:ascii="Calibri" w:hAnsi="Calibri" w:cs="Calibri"/>
      <w:i/>
      <w:iCs/>
    </w:rPr>
  </w:style>
  <w:style w:type="paragraph" w:styleId="968">
    <w:name w:val="Heading 9"/>
    <w:basedOn w:val="959"/>
    <w:next w:val="959"/>
    <w:link w:val="1158"/>
    <w:qFormat/>
    <w:pPr>
      <w:ind w:left="1584" w:hanging="1584"/>
      <w:spacing w:before="240" w:after="60"/>
      <w:tabs>
        <w:tab w:val="num" w:pos="1584" w:leader="none"/>
      </w:tabs>
      <w:outlineLvl w:val="8"/>
    </w:pPr>
    <w:rPr>
      <w:rFonts w:ascii="Arial" w:hAnsi="Arial" w:cs="Arial"/>
      <w:sz w:val="22"/>
      <w:szCs w:val="22"/>
    </w:rPr>
  </w:style>
  <w:style w:type="character" w:styleId="969" w:default="1">
    <w:name w:val="Default Paragraph Font"/>
    <w:uiPriority w:val="1"/>
    <w:semiHidden/>
    <w:unhideWhenUsed/>
  </w:style>
  <w:style w:type="table" w:styleId="970" w:default="1">
    <w:name w:val="Normal Table"/>
    <w:uiPriority w:val="99"/>
    <w:semiHidden/>
    <w:unhideWhenUsed/>
    <w:tblPr>
      <w:tblInd w:w="0" w:type="dxa"/>
      <w:tblCellMar>
        <w:left w:w="108" w:type="dxa"/>
        <w:top w:w="0" w:type="dxa"/>
        <w:right w:w="108" w:type="dxa"/>
        <w:bottom w:w="0" w:type="dxa"/>
      </w:tblCellMar>
    </w:tblPr>
  </w:style>
  <w:style w:type="numbering" w:styleId="971" w:default="1">
    <w:name w:val="No List"/>
    <w:uiPriority w:val="99"/>
    <w:semiHidden/>
    <w:unhideWhenUsed/>
  </w:style>
  <w:style w:type="character" w:styleId="972" w:customStyle="1">
    <w:name w:val="Heading 3 Char"/>
    <w:basedOn w:val="969"/>
    <w:uiPriority w:val="9"/>
    <w:rPr>
      <w:rFonts w:ascii="Arial" w:hAnsi="Arial" w:eastAsia="Arial" w:cs="Arial"/>
      <w:sz w:val="30"/>
      <w:szCs w:val="30"/>
    </w:rPr>
  </w:style>
  <w:style w:type="character" w:styleId="973" w:customStyle="1">
    <w:name w:val="Subtitle Char"/>
    <w:basedOn w:val="969"/>
    <w:uiPriority w:val="11"/>
    <w:rPr>
      <w:sz w:val="24"/>
      <w:szCs w:val="24"/>
    </w:rPr>
  </w:style>
  <w:style w:type="character" w:styleId="974" w:customStyle="1">
    <w:name w:val="Quote Char"/>
    <w:uiPriority w:val="29"/>
    <w:rPr>
      <w:i/>
    </w:rPr>
  </w:style>
  <w:style w:type="character" w:styleId="975" w:customStyle="1">
    <w:name w:val="Intense Quote Char"/>
    <w:uiPriority w:val="30"/>
    <w:rPr>
      <w:i/>
    </w:rPr>
  </w:style>
  <w:style w:type="character" w:styleId="976" w:customStyle="1">
    <w:name w:val="Header Char"/>
    <w:basedOn w:val="969"/>
    <w:uiPriority w:val="99"/>
  </w:style>
  <w:style w:type="character" w:styleId="977" w:customStyle="1">
    <w:name w:val="Caption Char"/>
    <w:basedOn w:val="969"/>
    <w:uiPriority w:val="35"/>
    <w:rPr>
      <w:b/>
      <w:bCs/>
      <w:color w:val="4f81bd" w:themeColor="accent1"/>
      <w:sz w:val="18"/>
      <w:szCs w:val="18"/>
    </w:rPr>
  </w:style>
  <w:style w:type="character" w:styleId="978" w:customStyle="1">
    <w:name w:val="Endnote Text Char"/>
    <w:uiPriority w:val="99"/>
    <w:rPr>
      <w:sz w:val="20"/>
    </w:rPr>
  </w:style>
  <w:style w:type="character" w:styleId="979" w:customStyle="1">
    <w:name w:val="Heading 1 Char"/>
    <w:uiPriority w:val="9"/>
    <w:rPr>
      <w:rFonts w:ascii="Arial" w:hAnsi="Arial" w:eastAsia="Arial" w:cs="Arial"/>
      <w:sz w:val="40"/>
      <w:szCs w:val="40"/>
    </w:rPr>
  </w:style>
  <w:style w:type="character" w:styleId="980" w:customStyle="1">
    <w:name w:val="Heading 2 Char"/>
    <w:uiPriority w:val="9"/>
    <w:rPr>
      <w:rFonts w:ascii="Arial" w:hAnsi="Arial" w:eastAsia="Arial" w:cs="Arial"/>
      <w:sz w:val="34"/>
    </w:rPr>
  </w:style>
  <w:style w:type="character" w:styleId="981" w:customStyle="1">
    <w:name w:val="Заголовок 3 Знак"/>
    <w:link w:val="962"/>
    <w:uiPriority w:val="9"/>
    <w:rPr>
      <w:rFonts w:ascii="Arial" w:hAnsi="Arial" w:eastAsia="Arial" w:cs="Arial"/>
      <w:sz w:val="30"/>
      <w:szCs w:val="30"/>
    </w:rPr>
  </w:style>
  <w:style w:type="character" w:styleId="982" w:customStyle="1">
    <w:name w:val="Heading 4 Char"/>
    <w:uiPriority w:val="9"/>
    <w:rPr>
      <w:rFonts w:ascii="Arial" w:hAnsi="Arial" w:eastAsia="Arial" w:cs="Arial"/>
      <w:b/>
      <w:bCs/>
      <w:sz w:val="26"/>
      <w:szCs w:val="26"/>
    </w:rPr>
  </w:style>
  <w:style w:type="character" w:styleId="983" w:customStyle="1">
    <w:name w:val="Heading 5 Char"/>
    <w:uiPriority w:val="9"/>
    <w:rPr>
      <w:rFonts w:ascii="Arial" w:hAnsi="Arial" w:eastAsia="Arial" w:cs="Arial"/>
      <w:b/>
      <w:bCs/>
      <w:sz w:val="24"/>
      <w:szCs w:val="24"/>
    </w:rPr>
  </w:style>
  <w:style w:type="character" w:styleId="984" w:customStyle="1">
    <w:name w:val="Heading 6 Char"/>
    <w:uiPriority w:val="9"/>
    <w:rPr>
      <w:rFonts w:ascii="Arial" w:hAnsi="Arial" w:eastAsia="Arial" w:cs="Arial"/>
      <w:b/>
      <w:bCs/>
      <w:sz w:val="22"/>
      <w:szCs w:val="22"/>
    </w:rPr>
  </w:style>
  <w:style w:type="character" w:styleId="985" w:customStyle="1">
    <w:name w:val="Heading 7 Char"/>
    <w:uiPriority w:val="9"/>
    <w:rPr>
      <w:rFonts w:ascii="Arial" w:hAnsi="Arial" w:eastAsia="Arial" w:cs="Arial"/>
      <w:b/>
      <w:bCs/>
      <w:i/>
      <w:iCs/>
      <w:sz w:val="22"/>
      <w:szCs w:val="22"/>
    </w:rPr>
  </w:style>
  <w:style w:type="character" w:styleId="986" w:customStyle="1">
    <w:name w:val="Heading 8 Char"/>
    <w:uiPriority w:val="9"/>
    <w:rPr>
      <w:rFonts w:ascii="Arial" w:hAnsi="Arial" w:eastAsia="Arial" w:cs="Arial"/>
      <w:i/>
      <w:iCs/>
      <w:sz w:val="22"/>
      <w:szCs w:val="22"/>
    </w:rPr>
  </w:style>
  <w:style w:type="character" w:styleId="987" w:customStyle="1">
    <w:name w:val="Heading 9 Char"/>
    <w:uiPriority w:val="9"/>
    <w:rPr>
      <w:rFonts w:ascii="Arial" w:hAnsi="Arial" w:eastAsia="Arial" w:cs="Arial"/>
      <w:i/>
      <w:iCs/>
      <w:sz w:val="21"/>
      <w:szCs w:val="21"/>
    </w:rPr>
  </w:style>
  <w:style w:type="paragraph" w:styleId="988">
    <w:name w:val="List Paragraph"/>
    <w:basedOn w:val="959"/>
    <w:uiPriority w:val="34"/>
    <w:qFormat/>
    <w:pPr>
      <w:contextualSpacing/>
      <w:ind w:left="720"/>
    </w:pPr>
  </w:style>
  <w:style w:type="paragraph" w:styleId="989">
    <w:name w:val="No Spacing"/>
    <w:uiPriority w:val="1"/>
    <w:qFormat/>
  </w:style>
  <w:style w:type="paragraph" w:styleId="990">
    <w:name w:val="Title"/>
    <w:basedOn w:val="959"/>
    <w:link w:val="1159"/>
    <w:qFormat/>
    <w:pPr>
      <w:jc w:val="center"/>
    </w:pPr>
    <w:rPr>
      <w:b/>
      <w:bCs/>
      <w:sz w:val="28"/>
      <w:szCs w:val="28"/>
      <w:lang w:val="en-US"/>
    </w:rPr>
  </w:style>
  <w:style w:type="character" w:styleId="991" w:customStyle="1">
    <w:name w:val="Title Char"/>
    <w:uiPriority w:val="10"/>
    <w:rPr>
      <w:sz w:val="48"/>
      <w:szCs w:val="48"/>
    </w:rPr>
  </w:style>
  <w:style w:type="paragraph" w:styleId="992">
    <w:name w:val="Subtitle"/>
    <w:basedOn w:val="959"/>
    <w:next w:val="959"/>
    <w:link w:val="993"/>
    <w:uiPriority w:val="11"/>
    <w:qFormat/>
    <w:pPr>
      <w:spacing w:before="200" w:after="200"/>
    </w:pPr>
  </w:style>
  <w:style w:type="character" w:styleId="993" w:customStyle="1">
    <w:name w:val="Подзаголовок Знак"/>
    <w:link w:val="992"/>
    <w:uiPriority w:val="11"/>
    <w:rPr>
      <w:sz w:val="24"/>
      <w:szCs w:val="24"/>
    </w:rPr>
  </w:style>
  <w:style w:type="paragraph" w:styleId="994">
    <w:name w:val="Quote"/>
    <w:basedOn w:val="959"/>
    <w:next w:val="959"/>
    <w:link w:val="995"/>
    <w:uiPriority w:val="29"/>
    <w:qFormat/>
    <w:pPr>
      <w:ind w:left="720" w:right="720"/>
    </w:pPr>
    <w:rPr>
      <w:i/>
    </w:rPr>
  </w:style>
  <w:style w:type="character" w:styleId="995" w:customStyle="1">
    <w:name w:val="Цитата 2 Знак"/>
    <w:link w:val="994"/>
    <w:uiPriority w:val="29"/>
    <w:rPr>
      <w:i/>
    </w:rPr>
  </w:style>
  <w:style w:type="paragraph" w:styleId="996">
    <w:name w:val="Intense Quote"/>
    <w:basedOn w:val="959"/>
    <w:next w:val="959"/>
    <w:link w:val="997"/>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97" w:customStyle="1">
    <w:name w:val="Выделенная цитата Знак"/>
    <w:link w:val="996"/>
    <w:uiPriority w:val="30"/>
    <w:rPr>
      <w:i/>
    </w:rPr>
  </w:style>
  <w:style w:type="paragraph" w:styleId="998">
    <w:name w:val="Header"/>
    <w:basedOn w:val="959"/>
    <w:link w:val="999"/>
    <w:uiPriority w:val="99"/>
    <w:unhideWhenUsed/>
    <w:pPr>
      <w:tabs>
        <w:tab w:val="center" w:pos="7143" w:leader="none"/>
        <w:tab w:val="right" w:pos="14287" w:leader="none"/>
      </w:tabs>
    </w:pPr>
  </w:style>
  <w:style w:type="character" w:styleId="999" w:customStyle="1">
    <w:name w:val="Верхний колонтитул Знак"/>
    <w:link w:val="998"/>
    <w:uiPriority w:val="99"/>
  </w:style>
  <w:style w:type="paragraph" w:styleId="1000">
    <w:name w:val="Footer"/>
    <w:basedOn w:val="959"/>
    <w:link w:val="1165"/>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1" w:customStyle="1">
    <w:name w:val="Footer Char"/>
    <w:uiPriority w:val="99"/>
  </w:style>
  <w:style w:type="paragraph" w:styleId="1002">
    <w:name w:val="Caption"/>
    <w:basedOn w:val="959"/>
    <w:next w:val="959"/>
    <w:link w:val="1003"/>
    <w:uiPriority w:val="35"/>
    <w:semiHidden/>
    <w:unhideWhenUsed/>
    <w:qFormat/>
    <w:pPr>
      <w:spacing w:line="276" w:lineRule="auto"/>
    </w:pPr>
    <w:rPr>
      <w:b/>
      <w:bCs/>
      <w:color w:val="4f81bd" w:themeColor="accent1"/>
      <w:sz w:val="18"/>
      <w:szCs w:val="18"/>
    </w:rPr>
  </w:style>
  <w:style w:type="character" w:styleId="1003" w:customStyle="1">
    <w:name w:val="Название объекта Знак"/>
    <w:link w:val="1002"/>
    <w:uiPriority w:val="99"/>
  </w:style>
  <w:style w:type="table" w:styleId="1004">
    <w:name w:val="Table Grid"/>
    <w:basedOn w:val="970"/>
    <w:uiPriority w:val="59"/>
    <w:tblPr>
      <w:tblInd w:w="0" w:type="dxa"/>
      <w:tblCellMar>
        <w:left w:w="108" w:type="dxa"/>
        <w:top w:w="0" w:type="dxa"/>
        <w:right w:w="108" w:type="dxa"/>
        <w:bottom w:w="0" w:type="dxa"/>
      </w:tblCellMar>
    </w:tblPr>
  </w:style>
  <w:style w:type="table" w:styleId="1005"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06">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07">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08">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09">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0">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1">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2"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3"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14"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15"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16"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17"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18">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19"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0"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1"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2"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3"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24"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25">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6"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7"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8"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9"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0"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1"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3"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34"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35"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36"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37"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38"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39">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0"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1"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2"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3"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44"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45"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46">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47"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48"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49"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0"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1"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2"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3">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54"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55"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56"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57"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58"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59"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0">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1"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2"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3"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64"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65"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66"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67">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68"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69"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0"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1"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2"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3"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74">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75"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76"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77"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78"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79"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0"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1">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2"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3"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84"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85"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86"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87"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88">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89"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0"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1"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2"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3"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094"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095">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096"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097"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098"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099"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0"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1"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2">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3"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04"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05"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06"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07"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08"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09"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0"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1"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2"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3"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14"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15"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16"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7"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8"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9"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0"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1"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2"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3"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24"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25"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26"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27"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28"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29"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0">
    <w:name w:val="Hyperlink"/>
    <w:uiPriority w:val="99"/>
    <w:unhideWhenUsed/>
    <w:rPr>
      <w:color w:val="0000ff"/>
      <w:u w:val="single"/>
    </w:rPr>
  </w:style>
  <w:style w:type="paragraph" w:styleId="1131">
    <w:name w:val="footnote text"/>
    <w:basedOn w:val="959"/>
    <w:link w:val="1167"/>
    <w:unhideWhenUsed/>
    <w:rPr>
      <w:sz w:val="20"/>
      <w:szCs w:val="20"/>
    </w:rPr>
  </w:style>
  <w:style w:type="character" w:styleId="1132" w:customStyle="1">
    <w:name w:val="Footnote Text Char"/>
    <w:uiPriority w:val="99"/>
    <w:rPr>
      <w:sz w:val="18"/>
    </w:rPr>
  </w:style>
  <w:style w:type="character" w:styleId="1133">
    <w:name w:val="footnote reference"/>
    <w:unhideWhenUsed/>
    <w:rPr>
      <w:vertAlign w:val="superscript"/>
    </w:rPr>
  </w:style>
  <w:style w:type="paragraph" w:styleId="1134">
    <w:name w:val="endnote text"/>
    <w:basedOn w:val="959"/>
    <w:link w:val="1135"/>
    <w:uiPriority w:val="99"/>
    <w:semiHidden/>
    <w:unhideWhenUsed/>
    <w:rPr>
      <w:sz w:val="20"/>
    </w:rPr>
  </w:style>
  <w:style w:type="character" w:styleId="1135" w:customStyle="1">
    <w:name w:val="Текст концевой сноски Знак"/>
    <w:link w:val="1134"/>
    <w:uiPriority w:val="99"/>
    <w:rPr>
      <w:sz w:val="20"/>
    </w:rPr>
  </w:style>
  <w:style w:type="character" w:styleId="1136">
    <w:name w:val="endnote reference"/>
    <w:uiPriority w:val="99"/>
    <w:semiHidden/>
    <w:unhideWhenUsed/>
    <w:rPr>
      <w:vertAlign w:val="superscript"/>
    </w:rPr>
  </w:style>
  <w:style w:type="paragraph" w:styleId="1137">
    <w:name w:val="toc 1"/>
    <w:basedOn w:val="959"/>
    <w:next w:val="959"/>
    <w:uiPriority w:val="39"/>
    <w:qFormat/>
    <w:pPr>
      <w:ind w:left="180"/>
      <w:widowControl w:val="off"/>
      <w:tabs>
        <w:tab w:val="right" w:pos="9818" w:leader="dot"/>
      </w:tabs>
    </w:pPr>
  </w:style>
  <w:style w:type="paragraph" w:styleId="1138">
    <w:name w:val="toc 2"/>
    <w:basedOn w:val="959"/>
    <w:next w:val="959"/>
    <w:uiPriority w:val="39"/>
    <w:unhideWhenUsed/>
    <w:pPr>
      <w:ind w:left="240"/>
      <w:spacing w:after="100"/>
    </w:pPr>
  </w:style>
  <w:style w:type="paragraph" w:styleId="1139">
    <w:name w:val="toc 3"/>
    <w:basedOn w:val="959"/>
    <w:next w:val="959"/>
    <w:uiPriority w:val="39"/>
    <w:unhideWhenUsed/>
    <w:pPr>
      <w:ind w:left="480"/>
      <w:spacing w:after="100"/>
    </w:pPr>
  </w:style>
  <w:style w:type="paragraph" w:styleId="1140">
    <w:name w:val="toc 4"/>
    <w:basedOn w:val="959"/>
    <w:next w:val="959"/>
    <w:uiPriority w:val="39"/>
    <w:unhideWhenUsed/>
    <w:pPr>
      <w:ind w:left="850"/>
      <w:spacing w:after="57"/>
    </w:pPr>
  </w:style>
  <w:style w:type="paragraph" w:styleId="1141">
    <w:name w:val="toc 5"/>
    <w:basedOn w:val="959"/>
    <w:next w:val="959"/>
    <w:uiPriority w:val="39"/>
    <w:unhideWhenUsed/>
    <w:pPr>
      <w:ind w:left="1134"/>
      <w:spacing w:after="57"/>
    </w:pPr>
  </w:style>
  <w:style w:type="paragraph" w:styleId="1142">
    <w:name w:val="toc 6"/>
    <w:basedOn w:val="959"/>
    <w:next w:val="959"/>
    <w:uiPriority w:val="39"/>
    <w:unhideWhenUsed/>
    <w:pPr>
      <w:ind w:left="1417"/>
      <w:spacing w:after="57"/>
    </w:pPr>
  </w:style>
  <w:style w:type="paragraph" w:styleId="1143">
    <w:name w:val="toc 7"/>
    <w:basedOn w:val="959"/>
    <w:next w:val="959"/>
    <w:uiPriority w:val="39"/>
    <w:unhideWhenUsed/>
    <w:pPr>
      <w:ind w:left="1701"/>
      <w:spacing w:after="57"/>
    </w:pPr>
  </w:style>
  <w:style w:type="paragraph" w:styleId="1144">
    <w:name w:val="toc 8"/>
    <w:basedOn w:val="959"/>
    <w:next w:val="959"/>
    <w:uiPriority w:val="39"/>
    <w:unhideWhenUsed/>
    <w:pPr>
      <w:ind w:left="1984"/>
      <w:spacing w:after="57"/>
    </w:pPr>
  </w:style>
  <w:style w:type="paragraph" w:styleId="1145">
    <w:name w:val="toc 9"/>
    <w:basedOn w:val="959"/>
    <w:next w:val="959"/>
    <w:uiPriority w:val="39"/>
    <w:unhideWhenUsed/>
    <w:pPr>
      <w:ind w:left="2268"/>
      <w:spacing w:after="57"/>
    </w:pPr>
  </w:style>
  <w:style w:type="paragraph" w:styleId="1146">
    <w:name w:val="TOC Heading"/>
    <w:basedOn w:val="960"/>
    <w:next w:val="959"/>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47">
    <w:name w:val="table of figures"/>
    <w:basedOn w:val="959"/>
    <w:next w:val="959"/>
    <w:uiPriority w:val="99"/>
    <w:unhideWhenUsed/>
  </w:style>
  <w:style w:type="paragraph" w:styleId="1148" w:customStyle="1">
    <w:name w:val="Заголовок 3;H3;Подраздел;Б3;RTC 3;iz3;римская нумерация"/>
    <w:basedOn w:val="959"/>
    <w:next w:val="959"/>
    <w:link w:val="1152"/>
    <w:qFormat/>
    <w:pPr>
      <w:keepNext/>
      <w:spacing w:before="240" w:after="60"/>
      <w:outlineLvl w:val="2"/>
    </w:pPr>
    <w:rPr>
      <w:rFonts w:ascii="Arial" w:hAnsi="Arial" w:cs="Arial"/>
      <w:b/>
      <w:bCs/>
      <w:sz w:val="26"/>
      <w:szCs w:val="26"/>
    </w:rPr>
  </w:style>
  <w:style w:type="character" w:styleId="1149" w:customStyle="1">
    <w:name w:val="Заголовок 1 Знак"/>
    <w:link w:val="960"/>
    <w:rPr>
      <w:rFonts w:ascii="Arial" w:hAnsi="Arial" w:cs="Arial"/>
      <w:b/>
      <w:bCs/>
      <w:sz w:val="32"/>
      <w:szCs w:val="32"/>
      <w:lang w:val="ru-RU" w:eastAsia="ru-RU" w:bidi="ar-SA"/>
    </w:rPr>
  </w:style>
  <w:style w:type="character" w:styleId="1150" w:customStyle="1">
    <w:name w:val="Заголовок 2 Знак"/>
    <w:link w:val="961"/>
    <w:rPr>
      <w:rFonts w:ascii="Cambria" w:hAnsi="Cambria" w:cs="Cambria"/>
      <w:b/>
      <w:bCs/>
      <w:i/>
      <w:iCs/>
      <w:sz w:val="28"/>
      <w:szCs w:val="28"/>
    </w:rPr>
  </w:style>
  <w:style w:type="character" w:styleId="1151" w:customStyle="1">
    <w:name w:val="Заголовок 2 Знак1;Заголовок 2 Знак Знак"/>
    <w:rPr>
      <w:rFonts w:ascii="Cambria" w:hAnsi="Cambria" w:cs="Cambria"/>
      <w:b/>
      <w:bCs/>
      <w:i/>
      <w:iCs/>
      <w:sz w:val="28"/>
      <w:szCs w:val="28"/>
      <w:lang w:val="ru-RU" w:eastAsia="ru-RU" w:bidi="ar-SA"/>
    </w:rPr>
  </w:style>
  <w:style w:type="character" w:styleId="1152" w:customStyle="1">
    <w:name w:val="Заголовок 3 Знак;H3 Знак;Подраздел Знак;Б3 Знак;RTC 3 Знак;iz3 Знак;римская нумерация Знак"/>
    <w:link w:val="1148"/>
    <w:rPr>
      <w:rFonts w:ascii="Arial" w:hAnsi="Arial" w:cs="Arial"/>
      <w:b/>
      <w:bCs/>
      <w:sz w:val="26"/>
      <w:szCs w:val="26"/>
      <w:lang w:val="ru-RU" w:eastAsia="ru-RU" w:bidi="ar-SA"/>
    </w:rPr>
  </w:style>
  <w:style w:type="character" w:styleId="1153" w:customStyle="1">
    <w:name w:val="Заголовок 4 Знак"/>
    <w:link w:val="963"/>
    <w:rPr>
      <w:rFonts w:ascii="Calibri" w:hAnsi="Calibri" w:cs="Calibri"/>
      <w:b/>
      <w:bCs/>
      <w:sz w:val="28"/>
      <w:szCs w:val="28"/>
      <w:lang w:val="ru-RU" w:eastAsia="ru-RU" w:bidi="ar-SA"/>
    </w:rPr>
  </w:style>
  <w:style w:type="character" w:styleId="1154" w:customStyle="1">
    <w:name w:val="Заголовок 5 Знак"/>
    <w:link w:val="964"/>
    <w:rPr>
      <w:rFonts w:ascii="Calibri" w:hAnsi="Calibri" w:cs="Calibri"/>
      <w:b/>
      <w:bCs/>
      <w:i/>
      <w:iCs/>
      <w:sz w:val="26"/>
      <w:szCs w:val="26"/>
      <w:lang w:val="ru-RU" w:eastAsia="ru-RU" w:bidi="ar-SA"/>
    </w:rPr>
  </w:style>
  <w:style w:type="character" w:styleId="1155" w:customStyle="1">
    <w:name w:val="Заголовок 6 Знак"/>
    <w:link w:val="965"/>
    <w:rPr>
      <w:b/>
      <w:bCs/>
      <w:sz w:val="22"/>
      <w:szCs w:val="22"/>
      <w:lang w:val="ru-RU" w:eastAsia="ru-RU" w:bidi="ar-SA"/>
    </w:rPr>
  </w:style>
  <w:style w:type="character" w:styleId="1156" w:customStyle="1">
    <w:name w:val="Заголовок 7 Знак"/>
    <w:link w:val="966"/>
    <w:rPr>
      <w:sz w:val="24"/>
      <w:szCs w:val="24"/>
      <w:lang w:val="ru-RU" w:eastAsia="ru-RU" w:bidi="ar-SA"/>
    </w:rPr>
  </w:style>
  <w:style w:type="character" w:styleId="1157" w:customStyle="1">
    <w:name w:val="Заголовок 8 Знак"/>
    <w:link w:val="967"/>
    <w:rPr>
      <w:rFonts w:ascii="Calibri" w:hAnsi="Calibri" w:cs="Calibri"/>
      <w:i/>
      <w:iCs/>
      <w:sz w:val="24"/>
      <w:szCs w:val="24"/>
      <w:lang w:val="ru-RU" w:eastAsia="ru-RU" w:bidi="ar-SA"/>
    </w:rPr>
  </w:style>
  <w:style w:type="character" w:styleId="1158" w:customStyle="1">
    <w:name w:val="Заголовок 9 Знак"/>
    <w:link w:val="968"/>
    <w:rPr>
      <w:rFonts w:ascii="Arial" w:hAnsi="Arial" w:cs="Arial"/>
      <w:sz w:val="22"/>
      <w:szCs w:val="22"/>
      <w:lang w:val="ru-RU" w:eastAsia="ru-RU" w:bidi="ar-SA"/>
    </w:rPr>
  </w:style>
  <w:style w:type="character" w:styleId="1159" w:customStyle="1">
    <w:name w:val="Название Знак"/>
    <w:link w:val="990"/>
    <w:rPr>
      <w:b/>
      <w:bCs/>
      <w:sz w:val="28"/>
      <w:szCs w:val="28"/>
      <w:lang w:val="en-US" w:eastAsia="ru-RU" w:bidi="ar-SA"/>
    </w:rPr>
  </w:style>
  <w:style w:type="character" w:styleId="1160">
    <w:name w:val="Strong"/>
    <w:qFormat/>
    <w:rPr>
      <w:b/>
      <w:bCs/>
    </w:rPr>
  </w:style>
  <w:style w:type="paragraph" w:styleId="1161"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59"/>
    <w:link w:val="1177"/>
    <w:uiPriority w:val="34"/>
    <w:qFormat/>
    <w:pPr>
      <w:ind w:left="708"/>
    </w:pPr>
  </w:style>
  <w:style w:type="paragraph" w:styleId="1162" w:customStyle="1">
    <w:name w:val="Верхний колонтитул;Heder;Titul"/>
    <w:basedOn w:val="959"/>
    <w:link w:val="1163"/>
    <w:uiPriority w:val="99"/>
    <w:pPr>
      <w:tabs>
        <w:tab w:val="center" w:pos="4677" w:leader="none"/>
        <w:tab w:val="right" w:pos="9355" w:leader="none"/>
      </w:tabs>
    </w:pPr>
  </w:style>
  <w:style w:type="character" w:styleId="1163" w:customStyle="1">
    <w:name w:val="Верхний колонтитул Знак;Heder Знак1;Titul Знак1"/>
    <w:link w:val="1162"/>
    <w:uiPriority w:val="99"/>
    <w:rPr>
      <w:sz w:val="24"/>
      <w:szCs w:val="24"/>
    </w:rPr>
  </w:style>
  <w:style w:type="character" w:styleId="1164">
    <w:name w:val="page number"/>
    <w:basedOn w:val="969"/>
  </w:style>
  <w:style w:type="character" w:styleId="1165" w:customStyle="1">
    <w:name w:val="Нижний колонтитул Знак"/>
    <w:link w:val="1000"/>
    <w:rPr>
      <w:rFonts w:eastAsia="MS Mincho"/>
      <w:spacing w:val="-2"/>
      <w:sz w:val="24"/>
      <w:szCs w:val="24"/>
    </w:rPr>
  </w:style>
  <w:style w:type="paragraph" w:styleId="1166" w:customStyle="1">
    <w:name w:val="Обычный1"/>
    <w:pPr>
      <w:ind w:firstLine="720"/>
      <w:jc w:val="both"/>
    </w:pPr>
    <w:rPr>
      <w:sz w:val="28"/>
      <w:lang w:eastAsia="ru-RU"/>
    </w:rPr>
  </w:style>
  <w:style w:type="character" w:styleId="1167" w:customStyle="1">
    <w:name w:val="Текст сноски Знак"/>
    <w:basedOn w:val="969"/>
    <w:link w:val="1131"/>
  </w:style>
  <w:style w:type="paragraph" w:styleId="1168">
    <w:name w:val="Balloon Text"/>
    <w:basedOn w:val="959"/>
    <w:link w:val="1169"/>
    <w:uiPriority w:val="99"/>
    <w:semiHidden/>
    <w:unhideWhenUsed/>
    <w:rPr>
      <w:rFonts w:ascii="Tahoma" w:hAnsi="Tahoma" w:cs="Tahoma"/>
      <w:sz w:val="16"/>
      <w:szCs w:val="16"/>
    </w:rPr>
  </w:style>
  <w:style w:type="character" w:styleId="1169" w:customStyle="1">
    <w:name w:val="Текст выноски Знак"/>
    <w:link w:val="1168"/>
    <w:uiPriority w:val="99"/>
    <w:semiHidden/>
    <w:rPr>
      <w:rFonts w:ascii="Tahoma" w:hAnsi="Tahoma" w:cs="Tahoma"/>
      <w:sz w:val="16"/>
      <w:szCs w:val="16"/>
    </w:rPr>
  </w:style>
  <w:style w:type="paragraph" w:styleId="1170">
    <w:name w:val="Plain Text"/>
    <w:basedOn w:val="959"/>
    <w:link w:val="1171"/>
    <w:uiPriority w:val="99"/>
    <w:pPr>
      <w:ind w:firstLine="900"/>
      <w:jc w:val="both"/>
      <w:tabs>
        <w:tab w:val="left" w:pos="360" w:leader="none"/>
      </w:tabs>
    </w:pPr>
    <w:rPr>
      <w:rFonts w:eastAsia="MS Mincho"/>
      <w:spacing w:val="-2"/>
      <w:sz w:val="26"/>
      <w:szCs w:val="20"/>
    </w:rPr>
  </w:style>
  <w:style w:type="character" w:styleId="1171" w:customStyle="1">
    <w:name w:val="Текст Знак"/>
    <w:link w:val="1170"/>
    <w:uiPriority w:val="99"/>
    <w:rPr>
      <w:rFonts w:eastAsia="MS Mincho"/>
      <w:spacing w:val="-2"/>
      <w:sz w:val="26"/>
    </w:rPr>
  </w:style>
  <w:style w:type="paragraph" w:styleId="1172">
    <w:name w:val="Body Text"/>
    <w:basedOn w:val="959"/>
    <w:link w:val="1173"/>
    <w:pPr>
      <w:spacing w:after="120"/>
    </w:pPr>
  </w:style>
  <w:style w:type="character" w:styleId="1173" w:customStyle="1">
    <w:name w:val="Основной текст Знак"/>
    <w:link w:val="1172"/>
    <w:rPr>
      <w:sz w:val="24"/>
      <w:szCs w:val="24"/>
    </w:rPr>
  </w:style>
  <w:style w:type="character" w:styleId="1174" w:customStyle="1">
    <w:name w:val="value"/>
    <w:basedOn w:val="969"/>
  </w:style>
  <w:style w:type="character" w:styleId="1175" w:customStyle="1">
    <w:name w:val="комментарий"/>
    <w:rPr>
      <w:b/>
      <w:i/>
      <w:shd w:val="clear" w:color="auto" w:fill="ffff99"/>
    </w:rPr>
  </w:style>
  <w:style w:type="character" w:styleId="1176" w:customStyle="1">
    <w:name w:val="Font Style128"/>
    <w:rPr>
      <w:rFonts w:ascii="Times New Roman" w:hAnsi="Times New Roman" w:cs="Times New Roman"/>
      <w:color w:val="000000"/>
      <w:sz w:val="26"/>
      <w:szCs w:val="26"/>
    </w:rPr>
  </w:style>
  <w:style w:type="character" w:styleId="1177"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1"/>
    <w:uiPriority w:val="34"/>
    <w:qFormat/>
    <w:rPr>
      <w:sz w:val="24"/>
      <w:szCs w:val="24"/>
    </w:rPr>
  </w:style>
  <w:style w:type="paragraph" w:styleId="1178" w:customStyle="1">
    <w:name w:val="Style1"/>
    <w:basedOn w:val="959"/>
    <w:pPr>
      <w:jc w:val="both"/>
      <w:spacing w:line="324" w:lineRule="exact"/>
      <w:widowControl w:val="off"/>
    </w:pPr>
  </w:style>
  <w:style w:type="character" w:styleId="1179"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0"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1" w:customStyle="1">
    <w:name w:val="Нижний колонтитул Знак1"/>
    <w:rPr>
      <w:rFonts w:ascii="Times New Roman" w:hAnsi="Times New Roman" w:eastAsia="Times New Roman" w:cs="Times New Roman"/>
      <w:sz w:val="24"/>
      <w:szCs w:val="24"/>
      <w:lang w:eastAsia="ru-RU"/>
    </w:rPr>
  </w:style>
  <w:style w:type="character" w:styleId="1182">
    <w:name w:val="annotation reference"/>
    <w:unhideWhenUsed/>
    <w:rPr>
      <w:sz w:val="16"/>
      <w:szCs w:val="16"/>
    </w:rPr>
  </w:style>
  <w:style w:type="paragraph" w:styleId="1183">
    <w:name w:val="annotation text"/>
    <w:basedOn w:val="959"/>
    <w:link w:val="1184"/>
    <w:uiPriority w:val="99"/>
    <w:unhideWhenUsed/>
    <w:rPr>
      <w:sz w:val="20"/>
      <w:szCs w:val="20"/>
    </w:rPr>
  </w:style>
  <w:style w:type="character" w:styleId="1184" w:customStyle="1">
    <w:name w:val="Текст примечания Знак"/>
    <w:basedOn w:val="969"/>
    <w:link w:val="1183"/>
    <w:uiPriority w:val="99"/>
  </w:style>
  <w:style w:type="paragraph" w:styleId="1185">
    <w:name w:val="annotation subject"/>
    <w:basedOn w:val="1183"/>
    <w:next w:val="1183"/>
    <w:link w:val="1186"/>
    <w:uiPriority w:val="99"/>
    <w:semiHidden/>
    <w:unhideWhenUsed/>
    <w:rPr>
      <w:b/>
      <w:bCs/>
    </w:rPr>
  </w:style>
  <w:style w:type="character" w:styleId="1186" w:customStyle="1">
    <w:name w:val="Тема примечания Знак"/>
    <w:link w:val="1185"/>
    <w:uiPriority w:val="99"/>
    <w:semiHidden/>
    <w:rPr>
      <w:b/>
      <w:bCs/>
    </w:rPr>
  </w:style>
  <w:style w:type="paragraph" w:styleId="1187" w:customStyle="1">
    <w:name w:val="Пункт2 Знак"/>
    <w:basedOn w:val="959"/>
    <w:link w:val="1188"/>
    <w:pPr>
      <w:numPr>
        <w:ilvl w:val="2"/>
        <w:numId w:val="3"/>
      </w:numPr>
      <w:keepNext/>
      <w:spacing w:before="240" w:after="120"/>
      <w:outlineLvl w:val="2"/>
    </w:pPr>
    <w:rPr>
      <w:b/>
      <w:sz w:val="28"/>
      <w:szCs w:val="20"/>
    </w:rPr>
  </w:style>
  <w:style w:type="character" w:styleId="1188" w:customStyle="1">
    <w:name w:val="Пункт2 Знак Знак"/>
    <w:link w:val="1187"/>
    <w:rPr>
      <w:b/>
      <w:sz w:val="28"/>
    </w:rPr>
  </w:style>
  <w:style w:type="paragraph" w:styleId="1189">
    <w:name w:val="Body Text Indent"/>
    <w:basedOn w:val="959"/>
    <w:link w:val="1190"/>
    <w:uiPriority w:val="99"/>
    <w:semiHidden/>
    <w:unhideWhenUsed/>
    <w:pPr>
      <w:ind w:left="283"/>
      <w:spacing w:after="120"/>
    </w:pPr>
  </w:style>
  <w:style w:type="character" w:styleId="1190" w:customStyle="1">
    <w:name w:val="Основной текст с отступом Знак"/>
    <w:link w:val="1189"/>
    <w:uiPriority w:val="99"/>
    <w:semiHidden/>
    <w:rPr>
      <w:sz w:val="24"/>
      <w:szCs w:val="24"/>
    </w:rPr>
  </w:style>
  <w:style w:type="paragraph" w:styleId="1191" w:customStyle="1">
    <w:name w:val="Times 12"/>
    <w:basedOn w:val="959"/>
    <w:pPr>
      <w:ind w:firstLine="567"/>
      <w:jc w:val="both"/>
    </w:pPr>
    <w:rPr>
      <w:bCs/>
      <w:szCs w:val="22"/>
    </w:rPr>
  </w:style>
  <w:style w:type="paragraph" w:styleId="1192" w:customStyle="1">
    <w:name w:val="Подпункт"/>
    <w:basedOn w:val="959"/>
    <w:link w:val="1193"/>
    <w:pPr>
      <w:ind w:left="1701" w:hanging="1134"/>
      <w:jc w:val="both"/>
      <w:spacing w:line="360" w:lineRule="auto"/>
      <w:tabs>
        <w:tab w:val="num" w:pos="1701" w:leader="none"/>
      </w:tabs>
    </w:pPr>
    <w:rPr>
      <w:sz w:val="22"/>
      <w:szCs w:val="20"/>
    </w:rPr>
  </w:style>
  <w:style w:type="character" w:styleId="1193" w:customStyle="1">
    <w:name w:val="Подпункт Знак1"/>
    <w:link w:val="1192"/>
    <w:rPr>
      <w:sz w:val="22"/>
    </w:rPr>
  </w:style>
  <w:style w:type="paragraph" w:styleId="1194" w:customStyle="1">
    <w:name w:val="Подподпункт"/>
    <w:basedOn w:val="1192"/>
    <w:link w:val="1213"/>
    <w:pPr>
      <w:numPr>
        <w:ilvl w:val="0"/>
        <w:numId w:val="7"/>
      </w:numPr>
    </w:pPr>
  </w:style>
  <w:style w:type="paragraph" w:styleId="1195" w:customStyle="1">
    <w:name w:val="АриалСписок"/>
    <w:basedOn w:val="959"/>
    <w:uiPriority w:val="99"/>
    <w:pPr>
      <w:numPr>
        <w:ilvl w:val="0"/>
        <w:numId w:val="1"/>
      </w:numPr>
      <w:ind w:left="1571"/>
      <w:jc w:val="both"/>
      <w:tabs>
        <w:tab w:val="num" w:pos="1571" w:leader="none"/>
      </w:tabs>
    </w:pPr>
    <w:rPr>
      <w:rFonts w:ascii="Arial" w:hAnsi="Arial" w:cs="Arial"/>
    </w:rPr>
  </w:style>
  <w:style w:type="numbering" w:styleId="1196" w:customStyle="1">
    <w:name w:val="Стиль511"/>
    <w:uiPriority w:val="99"/>
  </w:style>
  <w:style w:type="character" w:styleId="1197" w:customStyle="1">
    <w:name w:val="П.1 Char"/>
    <w:link w:val="1198"/>
    <w:rPr>
      <w:sz w:val="24"/>
      <w:szCs w:val="24"/>
    </w:rPr>
  </w:style>
  <w:style w:type="paragraph" w:styleId="1198" w:customStyle="1">
    <w:name w:val="П.1"/>
    <w:basedOn w:val="959"/>
    <w:link w:val="1197"/>
    <w:qFormat/>
    <w:pPr>
      <w:numPr>
        <w:ilvl w:val="1"/>
        <w:numId w:val="21"/>
      </w:numPr>
      <w:jc w:val="both"/>
    </w:pPr>
  </w:style>
  <w:style w:type="paragraph" w:styleId="1199" w:customStyle="1">
    <w:name w:val="П.1.1"/>
    <w:basedOn w:val="959"/>
    <w:qFormat/>
    <w:pPr>
      <w:numPr>
        <w:ilvl w:val="2"/>
        <w:numId w:val="21"/>
      </w:numPr>
      <w:jc w:val="both"/>
    </w:pPr>
    <w:rPr>
      <w:rFonts w:ascii="Calibri" w:hAnsi="Calibri" w:eastAsia="Calibri"/>
    </w:rPr>
  </w:style>
  <w:style w:type="paragraph" w:styleId="1200" w:customStyle="1">
    <w:name w:val="П.1.1.1"/>
    <w:basedOn w:val="959"/>
    <w:qFormat/>
    <w:pPr>
      <w:numPr>
        <w:ilvl w:val="3"/>
        <w:numId w:val="21"/>
      </w:numPr>
      <w:ind w:left="0" w:firstLine="567"/>
      <w:jc w:val="both"/>
    </w:pPr>
    <w:rPr>
      <w:rFonts w:ascii="Calibri" w:hAnsi="Calibri" w:eastAsia="Calibri"/>
    </w:rPr>
  </w:style>
  <w:style w:type="paragraph" w:styleId="1201" w:customStyle="1">
    <w:name w:val="П.1.1.1.1"/>
    <w:basedOn w:val="959"/>
    <w:qFormat/>
    <w:pPr>
      <w:numPr>
        <w:ilvl w:val="4"/>
        <w:numId w:val="21"/>
      </w:numPr>
      <w:ind w:left="0" w:firstLine="567"/>
      <w:jc w:val="both"/>
    </w:pPr>
    <w:rPr>
      <w:rFonts w:ascii="Calibri" w:hAnsi="Calibri" w:eastAsia="Calibri"/>
    </w:rPr>
  </w:style>
  <w:style w:type="paragraph" w:styleId="1202" w:customStyle="1">
    <w:name w:val="П.1.1.1.1.1"/>
    <w:basedOn w:val="959"/>
    <w:qFormat/>
    <w:pPr>
      <w:numPr>
        <w:ilvl w:val="5"/>
        <w:numId w:val="21"/>
      </w:numPr>
      <w:ind w:left="0" w:firstLine="567"/>
      <w:jc w:val="both"/>
    </w:pPr>
    <w:rPr>
      <w:rFonts w:ascii="Calibri" w:hAnsi="Calibri" w:eastAsia="Calibri"/>
    </w:rPr>
  </w:style>
  <w:style w:type="paragraph" w:styleId="1203" w:customStyle="1">
    <w:name w:val="П.глава"/>
    <w:basedOn w:val="959"/>
    <w:qFormat/>
    <w:pPr>
      <w:numPr>
        <w:ilvl w:val="0"/>
        <w:numId w:val="21"/>
      </w:numPr>
      <w:ind w:right="-6"/>
      <w:jc w:val="center"/>
      <w:spacing w:before="240" w:after="240"/>
    </w:pPr>
    <w:rPr>
      <w:rFonts w:eastAsia="Calibri"/>
      <w:b/>
      <w:bCs/>
    </w:rPr>
  </w:style>
  <w:style w:type="paragraph" w:styleId="1204" w:customStyle="1">
    <w:name w:val="Заголовок_1"/>
    <w:basedOn w:val="959"/>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05" w:customStyle="1">
    <w:name w:val="Пункт_3"/>
    <w:basedOn w:val="959"/>
    <w:uiPriority w:val="99"/>
    <w:pPr>
      <w:numPr>
        <w:ilvl w:val="2"/>
        <w:numId w:val="24"/>
      </w:numPr>
      <w:jc w:val="both"/>
    </w:pPr>
    <w:rPr>
      <w:sz w:val="28"/>
      <w:szCs w:val="28"/>
    </w:rPr>
  </w:style>
  <w:style w:type="paragraph" w:styleId="1206" w:customStyle="1">
    <w:name w:val="Пункт_2"/>
    <w:basedOn w:val="959"/>
    <w:uiPriority w:val="99"/>
    <w:pPr>
      <w:numPr>
        <w:ilvl w:val="1"/>
        <w:numId w:val="24"/>
      </w:numPr>
      <w:jc w:val="both"/>
    </w:pPr>
    <w:rPr>
      <w:sz w:val="28"/>
      <w:szCs w:val="20"/>
    </w:rPr>
  </w:style>
  <w:style w:type="paragraph" w:styleId="1207" w:customStyle="1">
    <w:name w:val="Пункт_5"/>
    <w:basedOn w:val="1205"/>
    <w:uiPriority w:val="99"/>
    <w:pPr>
      <w:numPr>
        <w:ilvl w:val="4"/>
      </w:numPr>
    </w:pPr>
  </w:style>
  <w:style w:type="paragraph" w:styleId="1208" w:customStyle="1">
    <w:name w:val="Пункт"/>
    <w:basedOn w:val="959"/>
    <w:link w:val="1209"/>
    <w:uiPriority w:val="99"/>
    <w:pPr>
      <w:numPr>
        <w:ilvl w:val="2"/>
        <w:numId w:val="4"/>
      </w:numPr>
      <w:jc w:val="both"/>
      <w:spacing w:line="360" w:lineRule="auto"/>
    </w:pPr>
    <w:rPr>
      <w:sz w:val="22"/>
      <w:szCs w:val="20"/>
    </w:rPr>
  </w:style>
  <w:style w:type="character" w:styleId="1209" w:customStyle="1">
    <w:name w:val="Пункт Знак1"/>
    <w:link w:val="1208"/>
    <w:uiPriority w:val="99"/>
    <w:rPr>
      <w:sz w:val="22"/>
    </w:rPr>
  </w:style>
  <w:style w:type="paragraph" w:styleId="1210" w:customStyle="1">
    <w:name w:val="_Маркер (номер) - с заголовком"/>
    <w:basedOn w:val="959"/>
    <w:pPr>
      <w:spacing w:before="240" w:after="60" w:line="360" w:lineRule="auto"/>
    </w:pPr>
    <w:rPr>
      <w:b/>
      <w:bCs/>
      <w:szCs w:val="20"/>
    </w:rPr>
  </w:style>
  <w:style w:type="paragraph" w:styleId="1211" w:customStyle="1">
    <w:name w:val="Style23"/>
    <w:basedOn w:val="959"/>
    <w:pPr>
      <w:ind w:firstLine="706"/>
      <w:jc w:val="both"/>
      <w:spacing w:line="338" w:lineRule="exact"/>
      <w:widowControl w:val="off"/>
    </w:pPr>
  </w:style>
  <w:style w:type="paragraph" w:styleId="1212" w:customStyle="1">
    <w:name w:val="Пункт2"/>
    <w:basedOn w:val="1208"/>
    <w:pPr>
      <w:numPr>
        <w:ilvl w:val="0"/>
        <w:numId w:val="0"/>
      </w:numPr>
      <w:ind w:left="1320" w:hanging="720"/>
      <w:jc w:val="left"/>
      <w:keepNext/>
      <w:spacing w:before="240" w:after="120" w:line="240" w:lineRule="auto"/>
      <w:outlineLvl w:val="2"/>
    </w:pPr>
    <w:rPr>
      <w:b/>
      <w:sz w:val="26"/>
      <w:szCs w:val="26"/>
    </w:rPr>
  </w:style>
  <w:style w:type="character" w:styleId="1213" w:customStyle="1">
    <w:name w:val="Подподпункт Знак"/>
    <w:link w:val="1194"/>
    <w:rPr>
      <w:sz w:val="22"/>
    </w:rPr>
  </w:style>
  <w:style w:type="paragraph" w:styleId="1214" w:customStyle="1">
    <w:name w:val="Table_text"/>
    <w:basedOn w:val="959"/>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161</cp:revision>
  <dcterms:created xsi:type="dcterms:W3CDTF">2026-03-03T12:45:00Z</dcterms:created>
  <dcterms:modified xsi:type="dcterms:W3CDTF">2026-07-10T08:31:30Z</dcterms:modified>
  <cp:version>983040</cp:version>
</cp:coreProperties>
</file>